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Override PartName="/word/header3.xml" ContentType="application/vnd.openxmlformats-officedocument.wordprocessingml.header+xml"/>
  <Override PartName="/word/_rels/document.xml.rels" ContentType="application/vnd.openxmlformats-package.relationships+xml"/>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header4.xml" ContentType="application/vnd.openxmlformats-officedocument.wordprocessingml.header+xml"/>
  <Override PartName="/word/styles.xml" ContentType="application/vnd.openxmlformats-officedocument.wordprocessingml.styl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theme/theme1.xml" ContentType="application/vnd.openxmlformats-officedocument.theme+xml"/>
  <Override PartName="/word/header7.xml" ContentType="application/vnd.openxmlformats-officedocument.wordprocessingml.header+xml"/>
  <Override PartName="/word/header6.xml" ContentType="application/vnd.openxmlformats-officedocument.wordprocessingml.header+xml"/>
  <Override PartName="/word/media/image5.png" ContentType="image/png"/>
  <Override PartName="/word/media/image11.jpeg" ContentType="image/jpeg"/>
  <Override PartName="/word/media/image4.jpeg" ContentType="image/jpeg"/>
  <Override PartName="/word/media/image3.jpeg" ContentType="image/jpeg"/>
  <Override PartName="/word/media/image1.png" ContentType="image/png"/>
  <Override PartName="/word/media/image6.jpeg" ContentType="image/jpeg"/>
  <Override PartName="/word/media/image9.jpeg" ContentType="image/jpeg"/>
  <Override PartName="/word/media/image12.png" ContentType="image/png"/>
  <Override PartName="/word/media/image8.jpeg" ContentType="image/jpeg"/>
  <Override PartName="/word/media/image2.png" ContentType="image/png"/>
  <Override PartName="/word/media/image10.png" ContentType="image/png"/>
  <Override PartName="/word/media/image7.jpeg" ContentType="image/jpeg"/>
  <Override PartName="/word/header5.xml" ContentType="application/vnd.openxmlformats-officedocument.wordprocessingml.header+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right"/>
        <w:rPr>
          <w:rFonts w:eastAsia="Calibri"/>
          <w:sz w:val="26"/>
          <w:szCs w:val="26"/>
        </w:rPr>
      </w:pPr>
      <w:r>
        <w:rPr/>
      </w:r>
    </w:p>
    <w:p>
      <w:pPr>
        <w:pStyle w:val="Normal"/>
        <w:keepNext w:val="true"/>
        <w:keepLines/>
        <w:jc w:val="right"/>
        <w:rPr>
          <w:bCs/>
          <w:sz w:val="24"/>
          <w:szCs w:val="24"/>
        </w:rPr>
      </w:pPr>
      <w:r>
        <w:rPr>
          <w:bCs/>
          <w:sz w:val="24"/>
          <w:szCs w:val="24"/>
        </w:rPr>
      </w:r>
    </w:p>
    <w:p>
      <w:pPr>
        <w:pStyle w:val="Normal"/>
        <w:keepNext w:val="true"/>
        <w:keepLines/>
        <w:jc w:val="right"/>
        <w:rPr>
          <w:bCs/>
          <w:sz w:val="24"/>
          <w:szCs w:val="24"/>
        </w:rPr>
      </w:pPr>
      <w:r>
        <w:rPr>
          <w:bCs/>
          <w:sz w:val="24"/>
          <w:szCs w:val="24"/>
        </w:rPr>
      </w:r>
    </w:p>
    <w:p>
      <w:pPr>
        <w:pStyle w:val="Normal"/>
        <w:keepNext w:val="true"/>
        <w:keepLines/>
        <w:jc w:val="center"/>
        <w:rPr>
          <w:rFonts w:eastAsia="Calibri"/>
          <w:b/>
          <w:sz w:val="26"/>
          <w:szCs w:val="26"/>
        </w:rPr>
      </w:pPr>
      <w:r>
        <w:rPr>
          <w:rFonts w:eastAsia="Calibri"/>
          <w:b/>
          <w:sz w:val="26"/>
          <w:szCs w:val="26"/>
        </w:rPr>
      </w:r>
      <w:bookmarkStart w:id="0" w:name="_Toc137554584"/>
      <w:bookmarkStart w:id="1" w:name="_Toc139856287"/>
      <w:bookmarkStart w:id="2" w:name="_Toc141696704"/>
      <w:bookmarkStart w:id="3" w:name="_Toc137554584"/>
      <w:bookmarkStart w:id="4" w:name="_Toc139856287"/>
      <w:bookmarkStart w:id="5" w:name="_Toc141696704"/>
      <w:bookmarkEnd w:id="3"/>
      <w:bookmarkEnd w:id="4"/>
      <w:bookmarkEnd w:id="5"/>
    </w:p>
    <w:p>
      <w:pPr>
        <w:pStyle w:val="Normal"/>
        <w:keepNext w:val="true"/>
        <w:keepLines/>
        <w:jc w:val="right"/>
        <w:rPr>
          <w:b/>
          <w:bCs/>
          <w:sz w:val="26"/>
          <w:szCs w:val="26"/>
        </w:rPr>
      </w:pPr>
      <w:r>
        <w:rPr>
          <w:b/>
          <w:bCs/>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rPr>
          <w:sz w:val="26"/>
          <w:szCs w:val="26"/>
        </w:rPr>
      </w:pPr>
      <w:r>
        <w:rPr>
          <w:sz w:val="26"/>
          <w:szCs w:val="26"/>
        </w:rPr>
      </w:r>
    </w:p>
    <w:p>
      <w:pPr>
        <w:pStyle w:val="Normal"/>
        <w:keepNext w:val="true"/>
        <w:keepLines/>
        <w:jc w:val="center"/>
        <w:rPr/>
      </w:pPr>
      <w:r>
        <w:rPr>
          <w:rFonts w:eastAsia="Calibri"/>
          <w:b/>
          <w:sz w:val="24"/>
          <w:szCs w:val="24"/>
        </w:rPr>
        <w:t xml:space="preserve">Технические требования </w:t>
      </w:r>
    </w:p>
    <w:p>
      <w:pPr>
        <w:pStyle w:val="Normal"/>
        <w:keepNext w:val="true"/>
        <w:keepLines/>
        <w:jc w:val="center"/>
        <w:rPr>
          <w:rFonts w:eastAsia="Calibri"/>
          <w:b/>
          <w:sz w:val="24"/>
          <w:szCs w:val="24"/>
        </w:rPr>
      </w:pPr>
      <w:r>
        <w:rPr>
          <w:rFonts w:eastAsia="Calibri"/>
          <w:b/>
          <w:sz w:val="24"/>
          <w:szCs w:val="24"/>
        </w:rPr>
      </w:r>
    </w:p>
    <w:p>
      <w:pPr>
        <w:pStyle w:val="Normal"/>
        <w:jc w:val="center"/>
        <w:rPr/>
      </w:pPr>
      <w:r>
        <w:rPr>
          <w:rFonts w:eastAsia="Calibri"/>
          <w:sz w:val="24"/>
          <w:szCs w:val="24"/>
        </w:rPr>
        <w:t>«</w:t>
      </w:r>
      <w:r>
        <w:rPr>
          <w:color w:val="000000"/>
          <w:sz w:val="24"/>
          <w:szCs w:val="24"/>
        </w:rPr>
        <w:t>ОКПД2 14.12.Поставка средств индивидуальной защиты от общих производственных загрязнений в корпоративном стиле Группы РусГидро для нужд филиала ПАО "РусГидро"-"Камская ГЭС"</w:t>
      </w:r>
      <w:r>
        <w:rPr>
          <w:rFonts w:eastAsia="Calibri"/>
          <w:b/>
          <w:sz w:val="24"/>
          <w:szCs w:val="24"/>
        </w:rPr>
        <w:t>»</w:t>
      </w:r>
    </w:p>
    <w:p>
      <w:pPr>
        <w:pStyle w:val="Normal"/>
        <w:keepNext w:val="true"/>
        <w:keepLines/>
        <w:jc w:val="center"/>
        <w:rPr>
          <w:rFonts w:eastAsia="Calibri"/>
          <w:b/>
          <w:i/>
          <w:i/>
          <w:sz w:val="26"/>
          <w:szCs w:val="26"/>
        </w:rPr>
      </w:pPr>
      <w:r>
        <w:rPr>
          <w:rFonts w:eastAsia="Calibri"/>
          <w:b/>
          <w:i/>
          <w:sz w:val="26"/>
          <w:szCs w:val="26"/>
        </w:rPr>
      </w:r>
    </w:p>
    <w:p>
      <w:pPr>
        <w:pStyle w:val="Normal"/>
        <w:keepNext w:val="true"/>
        <w:keepLines/>
        <w:jc w:val="both"/>
        <w:rPr>
          <w:sz w:val="26"/>
          <w:szCs w:val="26"/>
        </w:rPr>
      </w:pPr>
      <w:r>
        <w:rPr>
          <w:sz w:val="26"/>
          <w:szCs w:val="26"/>
        </w:rPr>
      </w:r>
    </w:p>
    <w:p>
      <w:pPr>
        <w:pStyle w:val="Normal"/>
        <w:rPr>
          <w:sz w:val="26"/>
          <w:szCs w:val="26"/>
        </w:rPr>
      </w:pPr>
      <w:r>
        <w:rPr>
          <w:sz w:val="26"/>
          <w:szCs w:val="26"/>
        </w:rPr>
      </w:r>
      <w:r>
        <w:br w:type="page"/>
      </w:r>
    </w:p>
    <w:p>
      <w:pPr>
        <w:pStyle w:val="Normal"/>
        <w:jc w:val="center"/>
        <w:rPr/>
      </w:pPr>
      <w:r>
        <w:rPr>
          <w:b/>
        </w:rPr>
        <w:t>СОДЕРЖАНИЕ</w:t>
      </w:r>
    </w:p>
    <w:sdt>
      <w:sdtPr>
        <w:docPartObj>
          <w:docPartGallery w:val="Table of Contents"/>
          <w:docPartUnique w:val="true"/>
        </w:docPartObj>
      </w:sdtPr>
      <w:sdtContent>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r>
            <w:fldChar w:fldCharType="begin"/>
          </w:r>
          <w:r>
            <w:rPr>
              <w:webHidden/>
              <w:rStyle w:val="Style15"/>
              <w:vanish w:val="false"/>
              <w:rFonts w:eastAsia="Calibri"/>
            </w:rPr>
            <w:instrText xml:space="preserve"> TOC \z \o "1-4" \u \h</w:instrText>
          </w:r>
          <w:r>
            <w:rPr>
              <w:webHidden/>
              <w:rStyle w:val="Style15"/>
              <w:vanish w:val="false"/>
              <w:rFonts w:eastAsia="Calibri"/>
            </w:rPr>
            <w:fldChar w:fldCharType="separate"/>
          </w:r>
          <w:hyperlink w:anchor="_Toc194314057">
            <w:r>
              <w:rPr>
                <w:webHidden/>
                <w:rStyle w:val="Style15"/>
                <w:rFonts w:eastAsia="Calibri"/>
                <w:vanish w:val="false"/>
              </w:rPr>
              <w:t>1.</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rPr>
              <w:t>Общие сведения</w:t>
            </w:r>
            <w:r>
              <w:rPr>
                <w:webHidden/>
              </w:rPr>
              <w:fldChar w:fldCharType="begin"/>
            </w:r>
            <w:r>
              <w:rPr>
                <w:webHidden/>
              </w:rPr>
              <w:instrText xml:space="preserve">PAGEREF _Toc194314057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58">
            <w:r>
              <w:rPr>
                <w:webHidden/>
                <w:rStyle w:val="Style15"/>
                <w:rFonts w:eastAsia="Calibri"/>
                <w:iCs/>
                <w:vanish w:val="false"/>
              </w:rPr>
              <w:t>1.1.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Наименование закупаемой продукции</w:t>
            </w:r>
            <w:r>
              <w:rPr>
                <w:webHidden/>
              </w:rPr>
              <w:fldChar w:fldCharType="begin"/>
            </w:r>
            <w:r>
              <w:rPr>
                <w:webHidden/>
              </w:rPr>
              <w:instrText xml:space="preserve">PAGEREF _Toc194314058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59">
            <w:r>
              <w:rPr>
                <w:webHidden/>
                <w:rStyle w:val="Style15"/>
                <w:rFonts w:eastAsia="Calibri"/>
                <w:iCs/>
                <w:vanish w:val="false"/>
              </w:rPr>
              <w:t>1.2.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Цель использования закупаемой продукции</w:t>
            </w:r>
            <w:r>
              <w:rPr>
                <w:webHidden/>
              </w:rPr>
              <w:fldChar w:fldCharType="begin"/>
            </w:r>
            <w:r>
              <w:rPr>
                <w:webHidden/>
              </w:rPr>
              <w:instrText xml:space="preserve">PAGEREF _Toc194314059 \h</w:instrText>
            </w:r>
            <w:r>
              <w:rPr>
                <w:webHidden/>
              </w:rPr>
              <w:fldChar w:fldCharType="separate"/>
            </w:r>
            <w:r>
              <w:rPr>
                <w:rStyle w:val="Style15"/>
                <w:vanish w:val="false"/>
              </w:rPr>
              <w:tab/>
              <w:t>3</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0">
            <w:r>
              <w:rPr>
                <w:webHidden/>
                <w:rStyle w:val="Style15"/>
                <w:rFonts w:eastAsia="Calibri"/>
                <w:vanish w:val="false"/>
              </w:rPr>
              <w:t>2.</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iCs/>
              </w:rPr>
              <w:t>Требования к продукции</w:t>
            </w:r>
            <w:r>
              <w:rPr>
                <w:webHidden/>
              </w:rPr>
              <w:fldChar w:fldCharType="begin"/>
            </w:r>
            <w:r>
              <w:rPr>
                <w:webHidden/>
              </w:rPr>
              <w:instrText xml:space="preserve">PAGEREF _Toc194314060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1">
            <w:r>
              <w:rPr>
                <w:webHidden/>
                <w:rStyle w:val="Style15"/>
                <w:rFonts w:eastAsia="Calibri"/>
                <w:iCs/>
                <w:vanish w:val="false"/>
              </w:rPr>
              <w:t>2.1.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объемам и срокам поставки</w:t>
            </w:r>
            <w:r>
              <w:rPr>
                <w:webHidden/>
              </w:rPr>
              <w:fldChar w:fldCharType="begin"/>
            </w:r>
            <w:r>
              <w:rPr>
                <w:webHidden/>
              </w:rPr>
              <w:instrText xml:space="preserve">PAGEREF _Toc194314061 \h</w:instrText>
            </w:r>
            <w:r>
              <w:rPr>
                <w:webHidden/>
              </w:rPr>
              <w:fldChar w:fldCharType="separate"/>
            </w:r>
            <w:r>
              <w:rPr>
                <w:rStyle w:val="Style15"/>
                <w:vanish w:val="false"/>
              </w:rPr>
              <w:tab/>
              <w:t>3</w:t>
            </w:r>
            <w:r>
              <w:rPr>
                <w:webHidden/>
              </w:rPr>
              <w:fldChar w:fldCharType="end"/>
            </w:r>
          </w:hyperlink>
        </w:p>
        <w:p>
          <w:pPr>
            <w:pStyle w:val="TOC3"/>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2">
            <w:r>
              <w:rPr>
                <w:webHidden/>
                <w:rStyle w:val="Style15"/>
                <w:rFonts w:eastAsia="Calibri"/>
                <w:vanish w:val="false"/>
              </w:rPr>
              <w:t>2.1.1.</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Перечень и объем закупаемой продукции</w:t>
            </w:r>
            <w:r>
              <w:rPr>
                <w:webHidden/>
              </w:rPr>
              <w:fldChar w:fldCharType="begin"/>
            </w:r>
            <w:r>
              <w:rPr>
                <w:webHidden/>
              </w:rPr>
              <w:instrText xml:space="preserve">PAGEREF _Toc194314062 \h</w:instrText>
            </w:r>
            <w:r>
              <w:rPr>
                <w:webHidden/>
              </w:rPr>
              <w:fldChar w:fldCharType="separate"/>
            </w:r>
            <w:r>
              <w:rPr>
                <w:rStyle w:val="Style15"/>
                <w:vanish w:val="false"/>
              </w:rPr>
              <w:tab/>
              <w:t>3</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3">
            <w:r>
              <w:rPr>
                <w:webHidden/>
                <w:rStyle w:val="Style15"/>
                <w:rFonts w:eastAsia="Calibri"/>
                <w:vanish w:val="false"/>
              </w:rPr>
              <w:t>Таблица 1.1 Перечень и объем закупаемой продукции</w:t>
            </w:r>
            <w:r>
              <w:rPr>
                <w:webHidden/>
              </w:rPr>
              <w:fldChar w:fldCharType="begin"/>
            </w:r>
            <w:r>
              <w:rPr>
                <w:webHidden/>
              </w:rPr>
              <w:instrText xml:space="preserve">PAGEREF _Toc194314063 \h</w:instrText>
            </w:r>
            <w:r>
              <w:rPr>
                <w:webHidden/>
              </w:rPr>
              <w:fldChar w:fldCharType="separate"/>
            </w:r>
            <w:r>
              <w:rPr>
                <w:rStyle w:val="Style15"/>
                <w:vanish w:val="false"/>
              </w:rPr>
              <w:tab/>
              <w:t>3</w:t>
            </w:r>
            <w:r>
              <w:rPr>
                <w:webHidden/>
              </w:rPr>
              <w:fldChar w:fldCharType="end"/>
            </w:r>
          </w:hyperlink>
        </w:p>
        <w:p>
          <w:pPr>
            <w:pStyle w:val="TOC3"/>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4">
            <w:r>
              <w:rPr>
                <w:webHidden/>
                <w:rStyle w:val="Style15"/>
                <w:rFonts w:eastAsia="Calibri"/>
                <w:vanish w:val="false"/>
              </w:rPr>
              <w:t>2.1.2.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срокам поставки продукции и оказания сопутствующих услуг</w:t>
            </w:r>
            <w:r>
              <w:rPr>
                <w:webHidden/>
              </w:rPr>
              <w:fldChar w:fldCharType="begin"/>
            </w:r>
            <w:r>
              <w:rPr>
                <w:webHidden/>
              </w:rPr>
              <w:instrText xml:space="preserve">PAGEREF _Toc194314064 \h</w:instrText>
            </w:r>
            <w:r>
              <w:rPr>
                <w:webHidden/>
              </w:rPr>
              <w:fldChar w:fldCharType="separate"/>
            </w:r>
            <w:r>
              <w:rPr>
                <w:rStyle w:val="Style15"/>
                <w:vanish w:val="false"/>
              </w:rPr>
              <w:tab/>
              <w:t>3</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5">
            <w:r>
              <w:rPr>
                <w:webHidden/>
                <w:rStyle w:val="Style15"/>
                <w:rFonts w:eastAsia="Calibri"/>
                <w:vanish w:val="false"/>
              </w:rPr>
              <w:t>Таблица 2.1 Требования по срокам поставки продукции</w:t>
            </w:r>
            <w:r>
              <w:rPr>
                <w:webHidden/>
              </w:rPr>
              <w:fldChar w:fldCharType="begin"/>
            </w:r>
            <w:r>
              <w:rPr>
                <w:webHidden/>
              </w:rPr>
              <w:instrText xml:space="preserve">PAGEREF _Toc194314065 \h</w:instrText>
            </w:r>
            <w:r>
              <w:rPr>
                <w:webHidden/>
              </w:rPr>
              <w:fldChar w:fldCharType="separate"/>
            </w:r>
            <w:r>
              <w:rPr>
                <w:rStyle w:val="Style15"/>
                <w:vanish w:val="false"/>
              </w:rPr>
              <w:tab/>
              <w:t>3</w:t>
            </w:r>
            <w:r>
              <w:rPr>
                <w:webHidden/>
              </w:rPr>
              <w:fldChar w:fldCharType="end"/>
            </w:r>
          </w:hyperlink>
        </w:p>
        <w:p>
          <w:pPr>
            <w:pStyle w:val="TOC4"/>
            <w:tabs>
              <w:tab w:val="clear" w:pos="720"/>
              <w:tab w:val="left" w:pos="1120" w:leader="none"/>
              <w:tab w:val="right" w:pos="9911" w:leader="dot"/>
            </w:tabs>
            <w:rPr>
              <w:rFonts w:ascii="Calibri" w:hAnsi="Calibri" w:eastAsia="新細明體" w:cs="Arial" w:asciiTheme="minorHAnsi" w:cstheme="minorBidi" w:eastAsiaTheme="minorEastAsia" w:hAnsiTheme="minorHAnsi"/>
              <w:sz w:val="22"/>
              <w:szCs w:val="22"/>
            </w:rPr>
          </w:pPr>
          <w:hyperlink w:anchor="_Toc194314066">
            <w:r>
              <w:rPr>
                <w:webHidden/>
                <w:rStyle w:val="Style15"/>
                <w:rFonts w:eastAsia="Calibri"/>
                <w:iCs/>
                <w:vanish w:val="false"/>
              </w:rPr>
              <w:t>2.2.</w:t>
            </w:r>
            <w:r>
              <w:rPr>
                <w:rStyle w:val="Style15"/>
                <w:rFonts w:eastAsia="新細明體" w:cs="Arial" w:ascii="Calibri" w:hAnsi="Calibri" w:asciiTheme="minorHAnsi" w:cstheme="minorBidi" w:eastAsiaTheme="minorEastAsia" w:hAnsiTheme="minorHAnsi"/>
                <w:sz w:val="22"/>
                <w:szCs w:val="22"/>
              </w:rPr>
              <w:tab/>
            </w:r>
            <w:r>
              <w:rPr>
                <w:rStyle w:val="Style15"/>
                <w:rFonts w:eastAsia="Calibri"/>
              </w:rPr>
              <w:t>Требования к качеству продукции</w:t>
            </w:r>
            <w:r>
              <w:rPr>
                <w:webHidden/>
              </w:rPr>
              <w:fldChar w:fldCharType="begin"/>
            </w:r>
            <w:r>
              <w:rPr>
                <w:webHidden/>
              </w:rPr>
              <w:instrText xml:space="preserve">PAGEREF _Toc194314066 \h</w:instrText>
            </w:r>
            <w:r>
              <w:rPr>
                <w:webHidden/>
              </w:rPr>
              <w:fldChar w:fldCharType="separate"/>
            </w:r>
            <w:r>
              <w:rPr>
                <w:rStyle w:val="Style15"/>
                <w:vanish w:val="false"/>
              </w:rPr>
              <w:tab/>
              <w:t>4</w:t>
            </w:r>
            <w:r>
              <w:rPr>
                <w:webHidden/>
              </w:rPr>
              <w:fldChar w:fldCharType="end"/>
            </w:r>
          </w:hyperlink>
        </w:p>
        <w:p>
          <w:pPr>
            <w:pStyle w:val="TOC1"/>
            <w:tabs>
              <w:tab w:val="clear" w:pos="720"/>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67">
            <w:r>
              <w:rPr>
                <w:webHidden/>
                <w:rStyle w:val="Style15"/>
                <w:rFonts w:eastAsia="Calibri"/>
                <w:vanish w:val="false"/>
              </w:rPr>
              <w:t>Таблица 3. Требования к продукции</w:t>
            </w:r>
            <w:r>
              <w:rPr>
                <w:webHidden/>
              </w:rPr>
              <w:fldChar w:fldCharType="begin"/>
            </w:r>
            <w:r>
              <w:rPr>
                <w:webHidden/>
              </w:rPr>
              <w:instrText xml:space="preserve">PAGEREF _Toc194314067 \h</w:instrText>
            </w:r>
            <w:r>
              <w:rPr>
                <w:webHidden/>
              </w:rPr>
              <w:fldChar w:fldCharType="separate"/>
            </w:r>
            <w:r>
              <w:rPr>
                <w:rStyle w:val="Style15"/>
                <w:vanish w:val="false"/>
              </w:rPr>
              <w:tab/>
              <w:t>4</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73">
            <w:r>
              <w:rPr>
                <w:webHidden/>
                <w:rStyle w:val="Style15"/>
                <w:rFonts w:eastAsia="Calibri"/>
                <w:vanish w:val="false"/>
              </w:rPr>
              <w:t>3.</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rPr>
              <w:t>Требования к документации по ценообразованию на этапе закупки</w:t>
            </w:r>
            <w:r>
              <w:rPr>
                <w:webHidden/>
              </w:rPr>
              <w:fldChar w:fldCharType="begin"/>
            </w:r>
            <w:r>
              <w:rPr>
                <w:webHidden/>
              </w:rPr>
              <w:instrText xml:space="preserve">PAGEREF _Toc194314073 \h</w:instrText>
            </w:r>
            <w:r>
              <w:rPr>
                <w:webHidden/>
              </w:rPr>
              <w:fldChar w:fldCharType="separate"/>
            </w:r>
            <w:r>
              <w:rPr>
                <w:rStyle w:val="Style15"/>
                <w:vanish w:val="false"/>
              </w:rPr>
              <w:tab/>
              <w:t>25</w:t>
            </w:r>
            <w:r>
              <w:rPr>
                <w:webHidden/>
              </w:rPr>
              <w:fldChar w:fldCharType="end"/>
            </w:r>
          </w:hyperlink>
        </w:p>
        <w:p>
          <w:pPr>
            <w:pStyle w:val="TOC1"/>
            <w:tabs>
              <w:tab w:val="clear" w:pos="720"/>
              <w:tab w:val="left" w:pos="560" w:leader="none"/>
              <w:tab w:val="right" w:pos="9911" w:leader="dot"/>
            </w:tabs>
            <w:rPr>
              <w:rFonts w:ascii="Calibri" w:hAnsi="Calibri" w:eastAsia="新細明體" w:cs="Arial" w:asciiTheme="minorHAnsi" w:cstheme="minorBidi" w:eastAsiaTheme="minorEastAsia" w:hAnsiTheme="minorHAnsi"/>
              <w:b w:val="false"/>
              <w:bCs w:val="false"/>
              <w:sz w:val="22"/>
              <w:szCs w:val="22"/>
            </w:rPr>
          </w:pPr>
          <w:hyperlink w:anchor="_Toc194314075">
            <w:r>
              <w:rPr>
                <w:webHidden/>
                <w:rStyle w:val="Style15"/>
                <w:rFonts w:eastAsia="Calibri"/>
                <w:vanish w:val="false"/>
              </w:rPr>
              <w:t>4.</w:t>
            </w:r>
            <w:r>
              <w:rPr>
                <w:rStyle w:val="Style15"/>
                <w:rFonts w:eastAsia="新細明體" w:cs="Arial" w:ascii="Calibri" w:hAnsi="Calibri" w:asciiTheme="minorHAnsi" w:cstheme="minorBidi" w:eastAsiaTheme="minorEastAsia" w:hAnsiTheme="minorHAnsi"/>
                <w:b w:val="false"/>
                <w:bCs w:val="false"/>
                <w:sz w:val="22"/>
                <w:szCs w:val="22"/>
              </w:rPr>
              <w:tab/>
            </w:r>
            <w:r>
              <w:rPr>
                <w:rStyle w:val="Style15"/>
                <w:rFonts w:eastAsia="Calibri"/>
                <w:iCs/>
              </w:rPr>
              <w:t>Приложения</w:t>
            </w:r>
            <w:r>
              <w:rPr>
                <w:webHidden/>
              </w:rPr>
              <w:fldChar w:fldCharType="begin"/>
            </w:r>
            <w:r>
              <w:rPr>
                <w:webHidden/>
              </w:rPr>
              <w:instrText xml:space="preserve">PAGEREF _Toc194314075 \h</w:instrText>
            </w:r>
            <w:r>
              <w:rPr>
                <w:webHidden/>
              </w:rPr>
              <w:fldChar w:fldCharType="separate"/>
            </w:r>
            <w:r>
              <w:rPr>
                <w:rStyle w:val="Style15"/>
                <w:vanish w:val="false"/>
              </w:rPr>
              <w:tab/>
              <w:t>26</w:t>
            </w:r>
            <w:r>
              <w:rPr>
                <w:webHidden/>
              </w:rPr>
              <w:fldChar w:fldCharType="end"/>
            </w:r>
          </w:hyperlink>
          <w:r>
            <w:rPr>
              <w:rStyle w:val="Style15"/>
              <w:vanish w:val="false"/>
            </w:rPr>
            <w:fldChar w:fldCharType="end"/>
          </w:r>
        </w:p>
      </w:sdtContent>
    </w:sdt>
    <w:p>
      <w:pPr>
        <w:pStyle w:val="TOC1"/>
        <w:tabs>
          <w:tab w:val="clear" w:pos="720"/>
          <w:tab w:val="left" w:pos="560" w:leader="none"/>
          <w:tab w:val="right" w:pos="9911" w:leader="dot"/>
        </w:tabs>
        <w:rPr/>
      </w:pPr>
      <w:r>
        <w:rPr/>
      </w:r>
    </w:p>
    <w:p>
      <w:pPr>
        <w:pStyle w:val="Heading2"/>
        <w:tabs>
          <w:tab w:val="clear" w:pos="0"/>
        </w:tabs>
        <w:ind w:left="0" w:hanging="0"/>
        <w:rPr>
          <w:b w:val="false"/>
          <w:i/>
          <w:i/>
        </w:rPr>
      </w:pPr>
      <w:r>
        <w:rPr>
          <w:b w:val="false"/>
          <w:i/>
        </w:rPr>
      </w:r>
    </w:p>
    <w:p>
      <w:pPr>
        <w:pStyle w:val="Normal"/>
        <w:keepNext w:val="true"/>
        <w:keepLines/>
        <w:jc w:val="center"/>
        <w:rPr>
          <w:rFonts w:eastAsia="Calibri"/>
          <w:b/>
          <w:i/>
          <w:i/>
          <w:sz w:val="24"/>
          <w:szCs w:val="24"/>
        </w:rPr>
      </w:pPr>
      <w:r>
        <w:rPr>
          <w:rFonts w:eastAsia="Calibri"/>
          <w:b/>
          <w:i/>
          <w:sz w:val="24"/>
          <w:szCs w:val="24"/>
        </w:rPr>
      </w:r>
      <w:r>
        <w:br w:type="page"/>
      </w:r>
    </w:p>
    <w:p>
      <w:pPr>
        <w:pStyle w:val="Heading1"/>
        <w:keepLines/>
        <w:numPr>
          <w:ilvl w:val="0"/>
          <w:numId w:val="3"/>
        </w:numPr>
        <w:ind w:left="357" w:hanging="357"/>
        <w:jc w:val="center"/>
        <w:rPr/>
      </w:pPr>
      <w:bookmarkStart w:id="6" w:name="_Toc51339692"/>
      <w:bookmarkStart w:id="7" w:name="_Toc194314057"/>
      <w:r>
        <w:rPr>
          <w:lang w:val="ru-RU"/>
        </w:rPr>
        <w:t>Общие сведения</w:t>
      </w:r>
      <w:bookmarkEnd w:id="6"/>
      <w:bookmarkEnd w:id="7"/>
    </w:p>
    <w:p>
      <w:pPr>
        <w:pStyle w:val="Heading4"/>
        <w:numPr>
          <w:ilvl w:val="1"/>
          <w:numId w:val="3"/>
        </w:numPr>
        <w:ind w:left="432" w:hanging="432"/>
        <w:rPr/>
      </w:pPr>
      <w:bookmarkStart w:id="8" w:name="_Toc46743506"/>
      <w:bookmarkStart w:id="9" w:name="_Toc194314058"/>
      <w:r>
        <w:rPr/>
        <w:t>Наименование закупаемой продукции</w:t>
      </w:r>
      <w:bookmarkEnd w:id="8"/>
      <w:bookmarkEnd w:id="9"/>
    </w:p>
    <w:p>
      <w:pPr>
        <w:pStyle w:val="Normal"/>
        <w:ind w:firstLine="284"/>
        <w:jc w:val="both"/>
        <w:rPr/>
      </w:pPr>
      <w:r>
        <w:rPr>
          <w:rFonts w:eastAsia="Calibri"/>
          <w:sz w:val="24"/>
          <w:szCs w:val="24"/>
        </w:rPr>
        <w:t>«</w:t>
      </w:r>
      <w:r>
        <w:rPr>
          <w:color w:val="000000"/>
          <w:sz w:val="24"/>
          <w:szCs w:val="24"/>
        </w:rPr>
        <w:t>ОКПД2 14.12.Поставка средств индивидуальной защиты от общих производственных загрязнений в корпоративном стиле Группы РусГидро для нужд филиала ПАО "РусГидро"-"Камская ГЭС"</w:t>
      </w:r>
      <w:r>
        <w:rPr>
          <w:rFonts w:eastAsia="Calibri"/>
          <w:b/>
          <w:sz w:val="24"/>
          <w:szCs w:val="24"/>
        </w:rPr>
        <w:t>»</w:t>
      </w:r>
    </w:p>
    <w:p>
      <w:pPr>
        <w:pStyle w:val="Heading4"/>
        <w:numPr>
          <w:ilvl w:val="1"/>
          <w:numId w:val="3"/>
        </w:numPr>
        <w:spacing w:before="240" w:after="60"/>
        <w:ind w:left="431" w:hanging="431"/>
        <w:rPr/>
      </w:pPr>
      <w:bookmarkStart w:id="10" w:name="_Toc194314059"/>
      <w:bookmarkStart w:id="11" w:name="_Toc46743507"/>
      <w:r>
        <w:rPr/>
        <w:t xml:space="preserve">Цель </w:t>
      </w:r>
      <w:bookmarkEnd w:id="11"/>
      <w:r>
        <w:rPr>
          <w:lang w:val="ru-RU"/>
        </w:rPr>
        <w:t>использования закупаемой продукции</w:t>
      </w:r>
      <w:bookmarkEnd w:id="10"/>
      <w:r>
        <w:rPr>
          <w:lang w:val="ru-RU"/>
        </w:rPr>
        <w:t xml:space="preserve"> </w:t>
      </w:r>
    </w:p>
    <w:p>
      <w:pPr>
        <w:pStyle w:val="Normal"/>
        <w:widowControl w:val="false"/>
        <w:tabs>
          <w:tab w:val="clear" w:pos="720"/>
          <w:tab w:val="left" w:pos="426" w:leader="none"/>
        </w:tabs>
        <w:spacing w:before="120" w:after="240"/>
        <w:ind w:firstLine="142"/>
        <w:jc w:val="both"/>
        <w:rPr/>
      </w:pPr>
      <w:r>
        <w:rPr/>
        <w:t xml:space="preserve"> </w:t>
      </w:r>
      <w:r>
        <w:rPr>
          <w:sz w:val="24"/>
          <w:szCs w:val="24"/>
        </w:rPr>
        <w:t>Обеспечение работников филиала ПАО «РусГидро» - «Камская ГЭС» в 2026 г. средствами индивидуальной защиты от общих производственных загрязнений согласно утвержденным нормам и требованиям.</w:t>
      </w:r>
    </w:p>
    <w:p>
      <w:pPr>
        <w:pStyle w:val="Normal"/>
        <w:widowControl w:val="false"/>
        <w:tabs>
          <w:tab w:val="clear" w:pos="720"/>
          <w:tab w:val="left" w:pos="426" w:leader="none"/>
        </w:tabs>
        <w:spacing w:before="120" w:after="240"/>
        <w:ind w:hanging="0"/>
        <w:jc w:val="both"/>
        <w:rPr>
          <w:b/>
          <w:bCs/>
        </w:rPr>
      </w:pPr>
      <w:r>
        <w:rPr>
          <w:b/>
          <w:bCs/>
          <w:sz w:val="24"/>
          <w:szCs w:val="24"/>
        </w:rPr>
        <w:t>1.3. Иные требования и сведения общего характера</w:t>
      </w:r>
    </w:p>
    <w:p>
      <w:pPr>
        <w:pStyle w:val="Normal"/>
        <w:widowControl w:val="false"/>
        <w:tabs>
          <w:tab w:val="clear" w:pos="720"/>
          <w:tab w:val="left" w:pos="426" w:leader="none"/>
        </w:tabs>
        <w:spacing w:before="120" w:after="240"/>
        <w:ind w:hanging="0"/>
        <w:jc w:val="both"/>
        <w:rPr/>
      </w:pPr>
      <w:r>
        <w:rPr>
          <w:sz w:val="24"/>
          <w:szCs w:val="28"/>
        </w:rPr>
        <w:t>Размеры средств индивидуальной защиты уточняются в заявке Заказчика.</w:t>
      </w:r>
    </w:p>
    <w:p>
      <w:pPr>
        <w:pStyle w:val="Heading1"/>
        <w:keepLines/>
        <w:numPr>
          <w:ilvl w:val="0"/>
          <w:numId w:val="3"/>
        </w:numPr>
        <w:ind w:left="357" w:hanging="357"/>
        <w:jc w:val="center"/>
        <w:rPr/>
      </w:pPr>
      <w:bookmarkStart w:id="12" w:name="_Toc51339693"/>
      <w:bookmarkStart w:id="13" w:name="_Toc194314060"/>
      <w:r>
        <w:rPr>
          <w:iCs/>
        </w:rPr>
        <w:t>Требования к продукции</w:t>
      </w:r>
      <w:bookmarkEnd w:id="12"/>
      <w:bookmarkEnd w:id="13"/>
    </w:p>
    <w:p>
      <w:pPr>
        <w:pStyle w:val="Heading4"/>
        <w:numPr>
          <w:ilvl w:val="1"/>
          <w:numId w:val="3"/>
        </w:numPr>
        <w:ind w:left="432" w:hanging="432"/>
        <w:rPr/>
      </w:pPr>
      <w:bookmarkStart w:id="14" w:name="_Toc194314061"/>
      <w:r>
        <w:rPr/>
        <w:t xml:space="preserve">Требования к объемам и срокам </w:t>
      </w:r>
      <w:r>
        <w:rPr>
          <w:lang w:val="ru-RU"/>
        </w:rPr>
        <w:t>поставки</w:t>
      </w:r>
      <w:bookmarkEnd w:id="14"/>
    </w:p>
    <w:p>
      <w:pPr>
        <w:pStyle w:val="Heading3"/>
        <w:numPr>
          <w:ilvl w:val="2"/>
          <w:numId w:val="3"/>
        </w:numPr>
        <w:rPr/>
      </w:pPr>
      <w:bookmarkStart w:id="15" w:name="_Toc194314062"/>
      <w:r>
        <w:rPr>
          <w:lang w:val="ru-RU"/>
        </w:rPr>
        <w:t>Перечень и объем закупаемой продукции</w:t>
      </w:r>
      <w:bookmarkEnd w:id="15"/>
    </w:p>
    <w:p>
      <w:pPr>
        <w:pStyle w:val="Heading1"/>
        <w:keepLines/>
        <w:tabs>
          <w:tab w:val="clear" w:pos="0"/>
        </w:tabs>
        <w:spacing w:before="240" w:after="60"/>
        <w:ind w:left="0" w:hanging="0"/>
        <w:rPr/>
      </w:pPr>
      <w:bookmarkStart w:id="16" w:name="_Toc194314063"/>
      <w:bookmarkStart w:id="17" w:name="_Toc51339695"/>
      <w:r>
        <w:rPr>
          <w:sz w:val="24"/>
          <w:szCs w:val="24"/>
        </w:rPr>
        <w:t xml:space="preserve">Таблица </w:t>
      </w:r>
      <w:r>
        <w:rPr>
          <w:sz w:val="24"/>
          <w:szCs w:val="24"/>
          <w:lang w:val="ru-RU"/>
        </w:rPr>
        <w:t>1.1</w:t>
      </w:r>
      <w:r>
        <w:rPr>
          <w:sz w:val="24"/>
          <w:szCs w:val="24"/>
        </w:rPr>
        <w:t xml:space="preserve"> </w:t>
      </w:r>
      <w:r>
        <w:rPr>
          <w:sz w:val="24"/>
          <w:szCs w:val="24"/>
          <w:lang w:val="ru-RU"/>
        </w:rPr>
        <w:t xml:space="preserve">Перечень </w:t>
      </w:r>
      <w:bookmarkEnd w:id="17"/>
      <w:r>
        <w:rPr>
          <w:sz w:val="24"/>
          <w:szCs w:val="24"/>
          <w:lang w:val="ru-RU"/>
        </w:rPr>
        <w:t>и объем закупаемой продукции</w:t>
      </w:r>
      <w:bookmarkEnd w:id="16"/>
    </w:p>
    <w:tbl>
      <w:tblPr>
        <w:tblW w:w="9952" w:type="dxa"/>
        <w:jc w:val="left"/>
        <w:tblInd w:w="108" w:type="dxa"/>
        <w:tblLayout w:type="fixed"/>
        <w:tblCellMar>
          <w:top w:w="0" w:type="dxa"/>
          <w:left w:w="108" w:type="dxa"/>
          <w:bottom w:w="0" w:type="dxa"/>
          <w:right w:w="108" w:type="dxa"/>
        </w:tblCellMar>
        <w:tblLook w:noVBand="0" w:val="0000" w:noHBand="0" w:lastColumn="0" w:firstColumn="0" w:lastRow="0" w:firstRow="0"/>
      </w:tblPr>
      <w:tblGrid>
        <w:gridCol w:w="829"/>
        <w:gridCol w:w="6153"/>
        <w:gridCol w:w="1422"/>
        <w:gridCol w:w="1547"/>
      </w:tblGrid>
      <w:tr>
        <w:trPr/>
        <w:tc>
          <w:tcPr>
            <w:tcW w:w="829"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w:t>
            </w:r>
          </w:p>
          <w:p>
            <w:pPr>
              <w:pStyle w:val="Normal"/>
              <w:keepNext w:val="true"/>
              <w:widowControl w:val="false"/>
              <w:jc w:val="center"/>
              <w:rPr/>
            </w:pPr>
            <w:r>
              <w:rPr>
                <w:sz w:val="24"/>
                <w:szCs w:val="24"/>
              </w:rPr>
              <w:t>п/п</w:t>
            </w:r>
          </w:p>
        </w:tc>
        <w:tc>
          <w:tcPr>
            <w:tcW w:w="6153"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Наименование продукции</w:t>
            </w:r>
          </w:p>
        </w:tc>
        <w:tc>
          <w:tcPr>
            <w:tcW w:w="1422"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Единица измерения</w:t>
            </w:r>
          </w:p>
        </w:tc>
        <w:tc>
          <w:tcPr>
            <w:tcW w:w="1547" w:type="dxa"/>
            <w:tcBorders>
              <w:top w:val="single" w:sz="4" w:space="0" w:color="000000"/>
              <w:left w:val="single" w:sz="4" w:space="0" w:color="000000"/>
              <w:bottom w:val="single" w:sz="4" w:space="0" w:color="000000"/>
              <w:right w:val="single" w:sz="4" w:space="0" w:color="000000"/>
            </w:tcBorders>
            <w:vAlign w:val="center"/>
          </w:tcPr>
          <w:p>
            <w:pPr>
              <w:pStyle w:val="Normal"/>
              <w:keepNext w:val="true"/>
              <w:widowControl w:val="false"/>
              <w:jc w:val="center"/>
              <w:rPr/>
            </w:pPr>
            <w:r>
              <w:rPr>
                <w:sz w:val="24"/>
                <w:szCs w:val="24"/>
              </w:rPr>
              <w:t>Количество</w:t>
            </w:r>
          </w:p>
        </w:tc>
      </w:tr>
      <w:tr>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1</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2</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3</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b/>
                <w:sz w:val="24"/>
                <w:szCs w:val="24"/>
              </w:rPr>
              <w:t>4</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1</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летний для защиты от ОПЗ для ИТР (куртка/брюки) мужской.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40</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2</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 xml:space="preserve">Костюм летний для защиты от ОПЗ для ИТР (куртка/брюки) женский. </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5</w:t>
            </w:r>
          </w:p>
        </w:tc>
      </w:tr>
      <w:tr>
        <w:trPr>
          <w:trHeight w:val="189"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3</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мужской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25</w:t>
            </w:r>
          </w:p>
        </w:tc>
      </w:tr>
      <w:tr>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lang w:val="en-US"/>
              </w:rPr>
              <w:t>4</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женский</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шт.</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lang w:val="en-US"/>
              </w:rPr>
              <w:t>5</w:t>
            </w:r>
          </w:p>
        </w:tc>
      </w:tr>
      <w:tr>
        <w:trPr/>
        <w:tc>
          <w:tcPr>
            <w:tcW w:w="829"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5</w:t>
            </w:r>
          </w:p>
        </w:tc>
        <w:tc>
          <w:tcPr>
            <w:tcW w:w="6153"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с храповиком (цвет - белый)</w:t>
            </w:r>
          </w:p>
        </w:tc>
        <w:tc>
          <w:tcPr>
            <w:tcW w:w="1422"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шт.</w:t>
            </w:r>
          </w:p>
        </w:tc>
        <w:tc>
          <w:tcPr>
            <w:tcW w:w="1547"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37</w:t>
            </w:r>
          </w:p>
        </w:tc>
      </w:tr>
      <w:tr>
        <w:trPr/>
        <w:tc>
          <w:tcPr>
            <w:tcW w:w="829"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6</w:t>
            </w:r>
          </w:p>
        </w:tc>
        <w:tc>
          <w:tcPr>
            <w:tcW w:w="6153"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с храповиком (цвет - оранжевый)</w:t>
            </w:r>
          </w:p>
        </w:tc>
        <w:tc>
          <w:tcPr>
            <w:tcW w:w="1422"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шт.</w:t>
            </w:r>
          </w:p>
        </w:tc>
        <w:tc>
          <w:tcPr>
            <w:tcW w:w="1547" w:type="dxa"/>
            <w:tcBorders>
              <w:left w:val="single" w:sz="4" w:space="0" w:color="000000"/>
              <w:bottom w:val="single" w:sz="4" w:space="0" w:color="000000"/>
              <w:right w:val="single" w:sz="4" w:space="0" w:color="000000"/>
            </w:tcBorders>
          </w:tcPr>
          <w:p>
            <w:pPr>
              <w:pStyle w:val="Normal"/>
              <w:widowControl w:val="false"/>
              <w:jc w:val="center"/>
              <w:rPr>
                <w:sz w:val="24"/>
              </w:rPr>
            </w:pPr>
            <w:r>
              <w:rPr>
                <w:sz w:val="24"/>
              </w:rPr>
              <w:t>5</w:t>
            </w:r>
          </w:p>
        </w:tc>
      </w:tr>
      <w:tr>
        <w:trPr>
          <w:trHeight w:val="70"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7</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rPr>
            </w:pPr>
            <w:r>
              <w:rPr>
                <w:sz w:val="24"/>
              </w:rPr>
              <w:t>Сапоги с защитным подноском утепленные</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пара</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20</w:t>
            </w:r>
          </w:p>
        </w:tc>
      </w:tr>
      <w:tr>
        <w:trPr>
          <w:trHeight w:val="70" w:hRule="atLeast"/>
        </w:trPr>
        <w:tc>
          <w:tcPr>
            <w:tcW w:w="829"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8</w:t>
            </w:r>
          </w:p>
        </w:tc>
        <w:tc>
          <w:tcPr>
            <w:tcW w:w="6153"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rPr>
            </w:pPr>
            <w:r>
              <w:rPr>
                <w:sz w:val="24"/>
              </w:rPr>
              <w:t>Ботинки с защитным подноском утепленные</w:t>
            </w:r>
          </w:p>
        </w:tc>
        <w:tc>
          <w:tcPr>
            <w:tcW w:w="142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пара</w:t>
            </w:r>
          </w:p>
        </w:tc>
        <w:tc>
          <w:tcPr>
            <w:tcW w:w="154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lang w:val="en-US"/>
              </w:rPr>
            </w:pPr>
            <w:r>
              <w:rPr>
                <w:sz w:val="24"/>
                <w:lang w:val="en-US"/>
              </w:rPr>
              <w:t>10</w:t>
            </w:r>
          </w:p>
        </w:tc>
      </w:tr>
    </w:tbl>
    <w:p>
      <w:pPr>
        <w:pStyle w:val="Heading3"/>
        <w:numPr>
          <w:ilvl w:val="2"/>
          <w:numId w:val="3"/>
        </w:numPr>
        <w:rPr/>
      </w:pPr>
      <w:bookmarkStart w:id="18" w:name="_Toc75446578"/>
      <w:bookmarkStart w:id="19" w:name="_Toc194314064"/>
      <w:bookmarkStart w:id="20" w:name="_Toc51339696"/>
      <w:r>
        <w:rPr>
          <w:lang w:val="ru-RU"/>
        </w:rPr>
        <w:t xml:space="preserve">Требования </w:t>
      </w:r>
      <w:bookmarkEnd w:id="20"/>
      <w:r>
        <w:rPr>
          <w:lang w:val="ru-RU"/>
        </w:rPr>
        <w:t>к срокам поставки продукции и оказания сопутствующих услуг</w:t>
      </w:r>
      <w:bookmarkEnd w:id="18"/>
      <w:bookmarkEnd w:id="19"/>
    </w:p>
    <w:p>
      <w:pPr>
        <w:pStyle w:val="Normal"/>
        <w:rPr/>
      </w:pPr>
      <w:r>
        <w:rPr/>
      </w:r>
    </w:p>
    <w:p>
      <w:pPr>
        <w:pStyle w:val="Heading1"/>
        <w:keepLines/>
        <w:tabs>
          <w:tab w:val="clear" w:pos="0"/>
        </w:tabs>
        <w:spacing w:before="240" w:after="60"/>
        <w:ind w:left="0" w:hanging="0"/>
        <w:rPr/>
      </w:pPr>
      <w:bookmarkStart w:id="21" w:name="_Toc194314065"/>
      <w:bookmarkStart w:id="22" w:name="_Toc51339697"/>
      <w:bookmarkStart w:id="23" w:name="_Toc50125127"/>
      <w:bookmarkStart w:id="24" w:name="_Toc50125126"/>
      <w:bookmarkEnd w:id="24"/>
      <w:r>
        <w:rPr>
          <w:sz w:val="24"/>
          <w:szCs w:val="24"/>
        </w:rPr>
        <w:t xml:space="preserve">Таблица </w:t>
      </w:r>
      <w:r>
        <w:rPr>
          <w:sz w:val="24"/>
          <w:szCs w:val="24"/>
          <w:lang w:val="ru-RU"/>
        </w:rPr>
        <w:t>2</w:t>
      </w:r>
      <w:r>
        <w:rPr>
          <w:sz w:val="24"/>
          <w:szCs w:val="24"/>
        </w:rPr>
        <w:t>.</w:t>
      </w:r>
      <w:r>
        <w:rPr>
          <w:sz w:val="24"/>
          <w:szCs w:val="24"/>
          <w:lang w:val="ru-RU"/>
        </w:rPr>
        <w:t>1</w:t>
      </w:r>
      <w:r>
        <w:rPr>
          <w:sz w:val="24"/>
          <w:szCs w:val="24"/>
        </w:rPr>
        <w:t xml:space="preserve"> </w:t>
      </w:r>
      <w:bookmarkStart w:id="25" w:name="_Hlk50465284"/>
      <w:r>
        <w:rPr>
          <w:sz w:val="24"/>
          <w:szCs w:val="24"/>
        </w:rPr>
        <w:t xml:space="preserve">Требования по срокам </w:t>
      </w:r>
      <w:bookmarkEnd w:id="22"/>
      <w:bookmarkEnd w:id="23"/>
      <w:bookmarkEnd w:id="25"/>
      <w:r>
        <w:rPr>
          <w:sz w:val="24"/>
          <w:szCs w:val="24"/>
          <w:lang w:val="ru-RU"/>
        </w:rPr>
        <w:t>поставки продукции</w:t>
      </w:r>
      <w:bookmarkEnd w:id="21"/>
      <w:r>
        <w:rPr>
          <w:sz w:val="24"/>
          <w:szCs w:val="24"/>
          <w:lang w:val="ru-RU"/>
        </w:rPr>
        <w:t xml:space="preserve"> </w:t>
      </w:r>
    </w:p>
    <w:tbl>
      <w:tblPr>
        <w:tblW w:w="9918" w:type="dxa"/>
        <w:jc w:val="left"/>
        <w:tblInd w:w="0" w:type="dxa"/>
        <w:tblLayout w:type="fixed"/>
        <w:tblCellMar>
          <w:top w:w="0" w:type="dxa"/>
          <w:left w:w="108" w:type="dxa"/>
          <w:bottom w:w="0" w:type="dxa"/>
          <w:right w:w="108" w:type="dxa"/>
        </w:tblCellMar>
        <w:tblLook w:noVBand="1" w:val="04a0" w:noHBand="0" w:lastColumn="0" w:firstColumn="1" w:lastRow="0" w:firstRow="1"/>
      </w:tblPr>
      <w:tblGrid>
        <w:gridCol w:w="838"/>
        <w:gridCol w:w="5814"/>
        <w:gridCol w:w="3266"/>
      </w:tblGrid>
      <w:tr>
        <w:trPr/>
        <w:tc>
          <w:tcPr>
            <w:tcW w:w="838"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sz w:val="24"/>
                <w:szCs w:val="24"/>
              </w:rPr>
              <w:t xml:space="preserve">№ </w:t>
            </w:r>
            <w:r>
              <w:rPr>
                <w:sz w:val="24"/>
                <w:szCs w:val="24"/>
              </w:rPr>
              <w:t>п/п</w:t>
            </w:r>
          </w:p>
        </w:tc>
        <w:tc>
          <w:tcPr>
            <w:tcW w:w="58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jc w:val="center"/>
              <w:rPr/>
            </w:pPr>
            <w:r>
              <w:rPr>
                <w:sz w:val="24"/>
                <w:szCs w:val="24"/>
              </w:rPr>
              <w:t xml:space="preserve">Наименование продукции </w:t>
            </w:r>
          </w:p>
        </w:tc>
        <w:tc>
          <w:tcPr>
            <w:tcW w:w="326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rPr>
              <w:t>Требования к сроку поставки продукции</w:t>
            </w:r>
          </w:p>
        </w:tc>
      </w:tr>
      <w:tr>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pPr>
            <w:r>
              <w:rPr>
                <w:b/>
                <w:sz w:val="24"/>
                <w:szCs w:val="24"/>
              </w:rPr>
              <w:t>1</w:t>
            </w:r>
          </w:p>
        </w:tc>
        <w:tc>
          <w:tcPr>
            <w:tcW w:w="581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pPr>
            <w:r>
              <w:rPr>
                <w:b/>
                <w:sz w:val="24"/>
                <w:szCs w:val="24"/>
              </w:rPr>
              <w:t>2</w:t>
            </w:r>
          </w:p>
        </w:tc>
        <w:tc>
          <w:tcPr>
            <w:tcW w:w="3266" w:type="dxa"/>
            <w:tcBorders>
              <w:top w:val="single" w:sz="4" w:space="0" w:color="000000"/>
              <w:left w:val="single" w:sz="4" w:space="0" w:color="000000"/>
              <w:bottom w:val="single" w:sz="4" w:space="0" w:color="000000"/>
              <w:right w:val="single" w:sz="4" w:space="0" w:color="000000"/>
            </w:tcBorders>
          </w:tcPr>
          <w:p>
            <w:pPr>
              <w:pStyle w:val="Style29"/>
              <w:keepNext w:val="false"/>
              <w:widowControl w:val="false"/>
              <w:spacing w:before="40" w:after="40"/>
              <w:jc w:val="center"/>
              <w:rPr/>
            </w:pPr>
            <w:r>
              <w:rPr>
                <w:b/>
                <w:sz w:val="24"/>
                <w:szCs w:val="24"/>
              </w:rPr>
              <w:t>3</w:t>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летний для защиты от ОПЗ для ИТР (куртка/брюки) мужской.</w:t>
            </w:r>
          </w:p>
        </w:tc>
        <w:tc>
          <w:tcPr>
            <w:tcW w:w="326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jc w:val="center"/>
              <w:rPr/>
            </w:pPr>
            <w:r>
              <w:rPr>
                <w:sz w:val="24"/>
                <w:szCs w:val="24"/>
              </w:rPr>
              <w:t>Поставка одноэтапная.</w:t>
            </w:r>
          </w:p>
          <w:p>
            <w:pPr>
              <w:pStyle w:val="Normal"/>
              <w:widowControl w:val="false"/>
              <w:jc w:val="center"/>
              <w:rPr/>
            </w:pPr>
            <w:r>
              <w:rPr>
                <w:sz w:val="24"/>
                <w:szCs w:val="24"/>
              </w:rPr>
              <w:t xml:space="preserve">В течение 60 (шестьдесят) календарных дней с даты подписания Договора </w:t>
            </w:r>
          </w:p>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 xml:space="preserve">Костюм летний для защиты от ОПЗ для ИТР (куртка/брюки) женский. </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мужской</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pPr>
            <w:r>
              <w:rPr>
                <w:sz w:val="24"/>
                <w:szCs w:val="24"/>
              </w:rPr>
              <w:t>Костюм утепленный для защиты от ОПЗ для ИТР (куртка с капюшоном/брюки) женский</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(белая)</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Каска защитная (оранжевая)</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5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Сапоги с защитным подноском утепленные</w:t>
            </w:r>
          </w:p>
        </w:tc>
        <w:tc>
          <w:tcPr>
            <w:tcW w:w="3266" w:type="dxa"/>
            <w:vMerge w:val="continue"/>
            <w:tcBorders>
              <w:left w:val="single" w:sz="4" w:space="0" w:color="000000"/>
              <w:right w:val="single" w:sz="4" w:space="0" w:color="000000"/>
            </w:tcBorders>
          </w:tcPr>
          <w:p>
            <w:pPr>
              <w:pStyle w:val="Normal"/>
              <w:widowControl w:val="false"/>
              <w:jc w:val="center"/>
              <w:rPr>
                <w:sz w:val="24"/>
                <w:szCs w:val="24"/>
              </w:rPr>
            </w:pPr>
            <w:r>
              <w:rPr>
                <w:sz w:val="24"/>
                <w:szCs w:val="24"/>
              </w:rPr>
            </w:r>
          </w:p>
        </w:tc>
      </w:tr>
      <w:tr>
        <w:trPr>
          <w:trHeight w:val="132" w:hRule="atLeast"/>
        </w:trPr>
        <w:tc>
          <w:tcPr>
            <w:tcW w:w="838" w:type="dxa"/>
            <w:tcBorders>
              <w:top w:val="single" w:sz="4" w:space="0" w:color="000000"/>
              <w:left w:val="single" w:sz="4" w:space="0" w:color="000000"/>
              <w:bottom w:val="single" w:sz="4" w:space="0" w:color="000000"/>
              <w:right w:val="single" w:sz="4" w:space="0" w:color="000000"/>
            </w:tcBorders>
            <w:shd w:color="auto" w:fill="auto" w:val="clear"/>
          </w:tcPr>
          <w:p>
            <w:pPr>
              <w:pStyle w:val="ListParagraph"/>
              <w:widowControl w:val="false"/>
              <w:numPr>
                <w:ilvl w:val="0"/>
                <w:numId w:val="6"/>
              </w:numPr>
              <w:rPr/>
            </w:pPr>
            <w:r>
              <w:rPr/>
            </w:r>
          </w:p>
        </w:tc>
        <w:tc>
          <w:tcPr>
            <w:tcW w:w="5814" w:type="dxa"/>
            <w:tcBorders>
              <w:left w:val="single" w:sz="4" w:space="0" w:color="000000"/>
              <w:bottom w:val="single" w:sz="4" w:space="0" w:color="000000"/>
              <w:right w:val="single" w:sz="4" w:space="0" w:color="000000"/>
            </w:tcBorders>
          </w:tcPr>
          <w:p>
            <w:pPr>
              <w:pStyle w:val="Normal"/>
              <w:widowControl w:val="false"/>
              <w:jc w:val="both"/>
              <w:rPr>
                <w:sz w:val="24"/>
              </w:rPr>
            </w:pPr>
            <w:r>
              <w:rPr>
                <w:sz w:val="24"/>
              </w:rPr>
              <w:t>Ботинки с защитным подноском утепленные</w:t>
            </w:r>
          </w:p>
        </w:tc>
        <w:tc>
          <w:tcPr>
            <w:tcW w:w="3266" w:type="dxa"/>
            <w:vMerge w:val="continue"/>
            <w:tcBorders>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r>
          </w:p>
        </w:tc>
      </w:tr>
    </w:tbl>
    <w:p>
      <w:pPr>
        <w:sectPr>
          <w:headerReference w:type="even" r:id="rId2"/>
          <w:headerReference w:type="default" r:id="rId3"/>
          <w:headerReference w:type="first" r:id="rId4"/>
          <w:type w:val="nextPage"/>
          <w:pgSz w:w="11906" w:h="16838"/>
          <w:pgMar w:left="1134" w:right="851" w:gutter="0" w:header="680" w:top="1134" w:footer="0" w:bottom="992"/>
          <w:pgNumType w:fmt="decimal"/>
          <w:formProt w:val="false"/>
          <w:titlePg/>
          <w:textDirection w:val="lrTb"/>
          <w:docGrid w:type="default" w:linePitch="360" w:charSpace="0"/>
        </w:sectPr>
      </w:pPr>
    </w:p>
    <w:p>
      <w:pPr>
        <w:pStyle w:val="Heading4"/>
        <w:numPr>
          <w:ilvl w:val="1"/>
          <w:numId w:val="3"/>
        </w:numPr>
        <w:ind w:left="432" w:hanging="432"/>
        <w:rPr/>
      </w:pPr>
      <w:bookmarkStart w:id="26" w:name="_Toc51339698"/>
      <w:bookmarkStart w:id="27" w:name="_Toc194314066"/>
      <w:bookmarkStart w:id="28" w:name="_Toc46743511"/>
      <w:bookmarkStart w:id="29" w:name="_Toc54785622"/>
      <w:bookmarkEnd w:id="29"/>
      <w:r>
        <w:rPr/>
        <w:t xml:space="preserve">Требования к </w:t>
      </w:r>
      <w:bookmarkEnd w:id="28"/>
      <w:r>
        <w:rPr>
          <w:lang w:val="ru-RU"/>
        </w:rPr>
        <w:t>качеству продукции</w:t>
      </w:r>
      <w:bookmarkEnd w:id="27"/>
    </w:p>
    <w:p>
      <w:pPr>
        <w:pStyle w:val="Heading1"/>
        <w:keepLines/>
        <w:tabs>
          <w:tab w:val="clear" w:pos="0"/>
        </w:tabs>
        <w:spacing w:before="240" w:after="60"/>
        <w:ind w:left="0" w:hanging="0"/>
        <w:rPr/>
      </w:pPr>
      <w:r>
        <w:rPr>
          <w:sz w:val="24"/>
          <w:szCs w:val="24"/>
        </w:rPr>
        <w:t xml:space="preserve"> </w:t>
      </w:r>
      <w:bookmarkStart w:id="30" w:name="_Toc194314067"/>
      <w:r>
        <w:rPr>
          <w:sz w:val="24"/>
          <w:szCs w:val="24"/>
        </w:rPr>
        <w:t>Таблица </w:t>
      </w:r>
      <w:r>
        <w:rPr>
          <w:sz w:val="24"/>
          <w:szCs w:val="24"/>
          <w:lang w:val="ru-RU"/>
        </w:rPr>
        <w:t>3</w:t>
      </w:r>
      <w:r>
        <w:rPr>
          <w:sz w:val="24"/>
          <w:szCs w:val="24"/>
        </w:rPr>
        <w:t xml:space="preserve">. Требования к </w:t>
      </w:r>
      <w:r>
        <w:rPr>
          <w:sz w:val="24"/>
          <w:szCs w:val="24"/>
          <w:lang w:val="ru-RU"/>
        </w:rPr>
        <w:t>продукции</w:t>
      </w:r>
      <w:bookmarkEnd w:id="30"/>
      <w:r>
        <w:rPr>
          <w:sz w:val="24"/>
          <w:szCs w:val="24"/>
        </w:rPr>
        <w:t xml:space="preserve"> </w:t>
      </w:r>
      <w:bookmarkEnd w:id="26"/>
      <w:r>
        <w:rPr>
          <w:rStyle w:val="Style8"/>
          <w:b/>
        </w:rPr>
        <w:t xml:space="preserve"> </w:t>
      </w:r>
    </w:p>
    <w:p>
      <w:pPr>
        <w:pStyle w:val="Normal"/>
        <w:spacing w:before="120" w:after="120"/>
        <w:rPr>
          <w:b/>
          <w:bCs/>
          <w:i/>
          <w:i/>
          <w:iCs/>
          <w:sz w:val="24"/>
          <w:szCs w:val="24"/>
          <w:lang w:eastAsia="zh-CN"/>
        </w:rPr>
      </w:pPr>
      <w:r>
        <w:rPr>
          <w:b/>
          <w:bCs/>
          <w:iCs/>
          <w:sz w:val="24"/>
          <w:szCs w:val="24"/>
          <w:lang w:eastAsia="zh-CN"/>
        </w:rPr>
        <w:t xml:space="preserve">Наименование продукции: </w:t>
      </w:r>
      <w:r>
        <w:rPr>
          <w:b/>
          <w:bCs/>
          <w:i/>
          <w:iCs/>
          <w:sz w:val="24"/>
          <w:szCs w:val="24"/>
          <w:lang w:eastAsia="zh-CN"/>
        </w:rPr>
        <w:t>позиции № 1-8 Таблицы 1.1. «Перечень и объем закупаемой продукции»:</w:t>
      </w:r>
    </w:p>
    <w:tbl>
      <w:tblPr>
        <w:tblStyle w:val="affff9"/>
        <w:tblW w:w="15525" w:type="dxa"/>
        <w:jc w:val="left"/>
        <w:tblInd w:w="-5" w:type="dxa"/>
        <w:tblLayout w:type="fixed"/>
        <w:tblCellMar>
          <w:top w:w="0" w:type="dxa"/>
          <w:left w:w="108" w:type="dxa"/>
          <w:bottom w:w="0" w:type="dxa"/>
          <w:right w:w="108" w:type="dxa"/>
        </w:tblCellMar>
        <w:tblLook w:noVBand="1" w:val="04a0" w:noHBand="0" w:lastColumn="0" w:firstColumn="1" w:lastRow="0" w:firstRow="1"/>
      </w:tblPr>
      <w:tblGrid>
        <w:gridCol w:w="889"/>
        <w:gridCol w:w="1980"/>
        <w:gridCol w:w="8313"/>
        <w:gridCol w:w="2012"/>
        <w:gridCol w:w="2331"/>
      </w:tblGrid>
      <w:tr>
        <w:trPr>
          <w:tblHeader w:val="true"/>
        </w:trPr>
        <w:tc>
          <w:tcPr>
            <w:tcW w:w="889"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 xml:space="preserve">№ </w:t>
            </w:r>
            <w:r>
              <w:rPr>
                <w:rFonts w:eastAsia="Times New Roman" w:cs="Times New Roman"/>
                <w:b/>
                <w:bCs/>
                <w:kern w:val="0"/>
                <w:sz w:val="24"/>
                <w:szCs w:val="24"/>
                <w:lang w:val="ru-RU" w:eastAsia="ru-RU" w:bidi="ar-SA"/>
              </w:rPr>
              <w:t>п/п</w:t>
            </w:r>
          </w:p>
        </w:tc>
        <w:tc>
          <w:tcPr>
            <w:tcW w:w="1980"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Наименование параметра</w:t>
            </w:r>
          </w:p>
        </w:tc>
        <w:tc>
          <w:tcPr>
            <w:tcW w:w="8313" w:type="dxa"/>
            <w:vMerge w:val="restart"/>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Требование Заказчика</w:t>
            </w:r>
          </w:p>
        </w:tc>
        <w:tc>
          <w:tcPr>
            <w:tcW w:w="4343" w:type="dxa"/>
            <w:gridSpan w:val="2"/>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Способ подтверждения Участником соответствия требованиям</w:t>
            </w:r>
          </w:p>
        </w:tc>
      </w:tr>
      <w:tr>
        <w:trPr>
          <w:tblHeader w:val="true"/>
        </w:trPr>
        <w:tc>
          <w:tcPr>
            <w:tcW w:w="889"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1980"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8313" w:type="dxa"/>
            <w:vMerge w:val="continue"/>
            <w:tcBorders/>
            <w:vAlign w:val="center"/>
          </w:tcPr>
          <w:p>
            <w:pPr>
              <w:pStyle w:val="Normal"/>
              <w:widowControl w:val="false"/>
              <w:suppressAutoHyphens w:val="true"/>
              <w:spacing w:before="0" w:after="0"/>
              <w:jc w:val="left"/>
              <w:rPr>
                <w:b/>
                <w:bCs/>
                <w:sz w:val="24"/>
                <w:szCs w:val="24"/>
              </w:rPr>
            </w:pPr>
            <w:r>
              <w:rPr>
                <w:b/>
                <w:bCs/>
                <w:sz w:val="24"/>
                <w:szCs w:val="24"/>
              </w:rPr>
            </w:r>
          </w:p>
        </w:tc>
        <w:tc>
          <w:tcPr>
            <w:tcW w:w="2012" w:type="dxa"/>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Согласие с требованием/ указание характеристик</w:t>
            </w:r>
          </w:p>
        </w:tc>
        <w:tc>
          <w:tcPr>
            <w:tcW w:w="2331" w:type="dxa"/>
            <w:tcBorders/>
            <w:vAlign w:val="center"/>
          </w:tcPr>
          <w:p>
            <w:pPr>
              <w:pStyle w:val="Normal"/>
              <w:widowControl w:val="false"/>
              <w:suppressAutoHyphens w:val="true"/>
              <w:spacing w:before="0" w:after="0"/>
              <w:jc w:val="center"/>
              <w:rPr>
                <w:b/>
                <w:bCs/>
                <w:sz w:val="24"/>
                <w:szCs w:val="24"/>
              </w:rPr>
            </w:pPr>
            <w:r>
              <w:rPr>
                <w:rFonts w:eastAsia="Times New Roman" w:cs="Times New Roman"/>
                <w:b/>
                <w:bCs/>
                <w:kern w:val="0"/>
                <w:sz w:val="24"/>
                <w:szCs w:val="24"/>
                <w:lang w:val="ru-RU" w:eastAsia="ru-RU" w:bidi="ar-SA"/>
              </w:rPr>
              <w:t>Предоставление подтверждающего документа или иной способ подтверждения</w:t>
            </w:r>
          </w:p>
        </w:tc>
      </w:tr>
      <w:tr>
        <w:trPr>
          <w:tblHeader w:val="true"/>
        </w:trPr>
        <w:tc>
          <w:tcPr>
            <w:tcW w:w="889" w:type="dxa"/>
            <w:tcBorders/>
            <w:vAlign w:val="center"/>
          </w:tcPr>
          <w:p>
            <w:pPr>
              <w:pStyle w:val="Normal"/>
              <w:widowControl w:val="false"/>
              <w:suppressAutoHyphens w:val="true"/>
              <w:spacing w:before="60" w:after="60"/>
              <w:jc w:val="center"/>
              <w:rPr>
                <w:rFonts w:ascii="Times New Roman" w:hAnsi="Times New Roman" w:eastAsia="Times New Roman" w:cs="Times New Roman"/>
                <w:kern w:val="0"/>
                <w:lang w:val="ru-RU" w:eastAsia="ru-RU" w:bidi="ar-SA"/>
              </w:rPr>
            </w:pPr>
            <w:r>
              <w:rPr>
                <w:rFonts w:eastAsia="Times New Roman" w:cs="Times New Roman"/>
                <w:b/>
                <w:kern w:val="0"/>
                <w:sz w:val="24"/>
                <w:szCs w:val="24"/>
                <w:lang w:val="ru-RU" w:eastAsia="ru-RU" w:bidi="ar-SA"/>
              </w:rPr>
              <w:t>1</w:t>
            </w:r>
          </w:p>
        </w:tc>
        <w:tc>
          <w:tcPr>
            <w:tcW w:w="1980"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2</w:t>
            </w:r>
          </w:p>
        </w:tc>
        <w:tc>
          <w:tcPr>
            <w:tcW w:w="8313"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3</w:t>
            </w:r>
          </w:p>
        </w:tc>
        <w:tc>
          <w:tcPr>
            <w:tcW w:w="2012"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4</w:t>
            </w:r>
          </w:p>
        </w:tc>
        <w:tc>
          <w:tcPr>
            <w:tcW w:w="2331" w:type="dxa"/>
            <w:tcBorders/>
            <w:vAlign w:val="center"/>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5</w:t>
            </w:r>
          </w:p>
        </w:tc>
      </w:tr>
      <w:tr>
        <w:trPr/>
        <w:tc>
          <w:tcPr>
            <w:tcW w:w="889" w:type="dxa"/>
            <w:tcBorders/>
          </w:tcPr>
          <w:p>
            <w:pPr>
              <w:pStyle w:val="ListParagraph"/>
              <w:widowControl w:val="false"/>
              <w:numPr>
                <w:ilvl w:val="0"/>
                <w:numId w:val="9"/>
              </w:numPr>
              <w:suppressAutoHyphens w:val="true"/>
              <w:spacing w:before="60" w:after="60"/>
              <w:ind w:left="0" w:firstLine="179"/>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vAlign w:val="center"/>
          </w:tcPr>
          <w:p>
            <w:pPr>
              <w:pStyle w:val="Normal"/>
              <w:widowControl w:val="false"/>
              <w:suppressAutoHyphens w:val="true"/>
              <w:spacing w:before="0" w:after="0"/>
              <w:jc w:val="left"/>
              <w:rPr>
                <w:b/>
                <w:sz w:val="24"/>
                <w:szCs w:val="24"/>
              </w:rPr>
            </w:pPr>
            <w:r>
              <w:rPr>
                <w:rFonts w:eastAsia="Times New Roman" w:cs="Times New Roman"/>
                <w:b/>
                <w:kern w:val="0"/>
                <w:sz w:val="24"/>
                <w:szCs w:val="24"/>
                <w:lang w:val="ru-RU" w:eastAsia="ru-RU" w:bidi="ar-SA"/>
              </w:rPr>
              <w:t xml:space="preserve">Общие требования к продукции </w:t>
            </w:r>
          </w:p>
        </w:tc>
        <w:tc>
          <w:tcPr>
            <w:tcW w:w="2012"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c>
          <w:tcPr>
            <w:tcW w:w="2331"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shd w:color="auto" w:fill="auto" w:val="clear"/>
            <w:vAlign w:val="center"/>
          </w:tcPr>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Спецодежда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и соответствовать требованиям ТР ТС 019/2011.</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Размер предоставляемых СИЗ должен соответствовать антропометрическим измерениям работников, в соответствии с размерами. Спецодежда должна быть удобной в эксплуатации.</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Поставляемые костюмы и обувь должны быть новыми и ранее не использованными и изготовлены не ранее года, предшествующего году поставки.</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Предоставить в составе заявки </w:t>
            </w:r>
            <w:r>
              <w:rPr>
                <w:rFonts w:eastAsia="Calibri" w:cs="Times New Roman"/>
                <w:kern w:val="0"/>
                <w:sz w:val="24"/>
                <w:szCs w:val="24"/>
                <w:lang w:val="ru-RU" w:eastAsia="en-US" w:bidi="ar-SA"/>
              </w:rPr>
              <w:t>протоколы испытаний, подтверждающие защитные и эксплуатационные свойства</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rFonts w:ascii="Times New Roman" w:hAnsi="Times New Roman" w:eastAsia="Times New Roman" w:cs="Times New Roman"/>
                <w:kern w:val="0"/>
                <w:lang w:val="ru-RU" w:eastAsia="ru-RU" w:bidi="ar-SA"/>
              </w:rPr>
            </w:pPr>
            <w:r>
              <w:rPr>
                <w:rFonts w:eastAsia="Times New Roman" w:cs="Times New Roman"/>
                <w:kern w:val="0"/>
                <w:sz w:val="24"/>
                <w:szCs w:val="24"/>
                <w:lang w:val="ru-RU" w:eastAsia="ru-RU" w:bidi="ar-SA"/>
              </w:rPr>
              <w:t xml:space="preserve">Требования к специальной обуви </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28"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Спецобувь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а также выполнять две основные функции: защитную и снижающую усталость.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Спецобувь должна иметь широкую колодку,</w:t>
            </w:r>
            <w:r>
              <w:rPr>
                <w:rFonts w:eastAsia="Times New Roman" w:cs="Times New Roman"/>
                <w:kern w:val="0"/>
                <w:sz w:val="28"/>
                <w:szCs w:val="28"/>
                <w:lang w:val="ru-RU" w:eastAsia="ru-RU" w:bidi="ar-SA"/>
              </w:rPr>
              <w:t xml:space="preserve"> </w:t>
            </w:r>
            <w:r>
              <w:rPr>
                <w:rFonts w:cs="Times New Roman"/>
                <w:kern w:val="0"/>
                <w:lang w:val="ru-RU" w:eastAsia="ru-RU" w:bidi="ar-SA"/>
              </w:rPr>
              <w:t>гибкую подошву и быть облегченной.</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Все ботинки, полуботинки и сапоги должны иметь жесткий защитный подносок из поликарбоната/металла c резиновым / полиуретановым уплотнителем.</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Обувь специальная кожаная должна защищать от механических повреждений,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специальная должна соответствовать требованиям национальных стандартов и других нормативных документов в зависимости от ее назначения.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Вся обувь должна изготавливаться в корпоративном стиле Группы РусГидро согласно Приложению 1 настоящих ТТ. </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строчки должны быть выполнены синими нитками, шнурки и подошва выполнены с использованием черно-синих материалов.</w:t>
            </w:r>
          </w:p>
          <w:p>
            <w:pPr>
              <w:pStyle w:val="ListParagraph"/>
              <w:widowControl w:val="false"/>
              <w:numPr>
                <w:ilvl w:val="2"/>
                <w:numId w:val="9"/>
              </w:numPr>
              <w:tabs>
                <w:tab w:val="clear" w:pos="720"/>
                <w:tab w:val="left" w:pos="740" w:leader="none"/>
                <w:tab w:val="left" w:pos="882" w:leader="none"/>
              </w:tabs>
              <w:suppressAutoHyphens w:val="true"/>
              <w:spacing w:before="60" w:after="6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Допускается использование подошвы в черной цветовой гамме с целью улучшения физико-механических свойств готового изделия.</w:t>
            </w:r>
          </w:p>
          <w:p>
            <w:pPr>
              <w:pStyle w:val="ListParagraph"/>
              <w:widowControl w:val="false"/>
              <w:numPr>
                <w:ilvl w:val="2"/>
                <w:numId w:val="9"/>
              </w:numPr>
              <w:suppressAutoHyphens w:val="true"/>
              <w:spacing w:before="60" w:after="6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На спецобувь должен быть нанесен фирменный логотип «РусГидро».</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Предоставить в составе заявки </w:t>
            </w:r>
            <w:r>
              <w:rPr>
                <w:rFonts w:eastAsia="Calibri" w:cs="Times New Roman"/>
                <w:kern w:val="0"/>
                <w:sz w:val="24"/>
                <w:szCs w:val="24"/>
                <w:lang w:val="ru-RU" w:eastAsia="en-US" w:bidi="ar-SA"/>
              </w:rPr>
              <w:t>протоколы испытаний, подтверждающие защитные и эксплуатационные свойства</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sz w:val="24"/>
                <w:szCs w:val="24"/>
              </w:rPr>
            </w:pPr>
            <w:r>
              <w:rPr>
                <w:rFonts w:eastAsia="Times New Roman" w:cs="Times New Roman"/>
                <w:kern w:val="0"/>
                <w:sz w:val="24"/>
                <w:szCs w:val="24"/>
                <w:lang w:val="ru-RU" w:eastAsia="ru-RU" w:bidi="ar-SA"/>
              </w:rPr>
              <w:t xml:space="preserve">Требования к ткани </w:t>
            </w:r>
          </w:p>
        </w:tc>
        <w:tc>
          <w:tcPr>
            <w:tcW w:w="8313" w:type="dxa"/>
            <w:tcBorders/>
            <w:shd w:color="auto" w:fill="auto" w:val="clear"/>
          </w:tcPr>
          <w:p>
            <w:pPr>
              <w:pStyle w:val="ListParagraph"/>
              <w:widowControl w:val="false"/>
              <w:numPr>
                <w:ilvl w:val="2"/>
                <w:numId w:val="9"/>
              </w:numPr>
              <w:suppressAutoHyphens w:val="true"/>
              <w:spacing w:before="60" w:after="6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Костюмы для защиты от общих производственных загрязнений, белье нательное должны быть изготовлены из тканей, произведенных в Российской Федерации. </w:t>
            </w:r>
          </w:p>
          <w:p>
            <w:pPr>
              <w:pStyle w:val="ListParagraph"/>
              <w:widowControl w:val="false"/>
              <w:numPr>
                <w:ilvl w:val="2"/>
                <w:numId w:val="9"/>
              </w:numPr>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С целью снижения риска поставок контрафактной продукции и упрощения контроля за используемыми при пошиве спецодежды тканями и материалами, при пошиве костюмов для защиты от ОПЗ должны быть использованы ткани с нанесением на изнаночную сторону специальной несмываемой маркировки – фирменного логотипа производителя ткани.</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60" w:after="60"/>
              <w:ind w:left="31" w:hanging="0"/>
              <w:jc w:val="left"/>
              <w:rPr>
                <w:sz w:val="24"/>
                <w:szCs w:val="24"/>
              </w:rPr>
            </w:pPr>
            <w:r>
              <w:rPr>
                <w:rFonts w:eastAsia="Times New Roman" w:cs="Times New Roman"/>
                <w:kern w:val="0"/>
                <w:sz w:val="24"/>
                <w:szCs w:val="24"/>
                <w:lang w:val="ru-RU" w:eastAsia="ru-RU" w:bidi="ar-SA"/>
              </w:rPr>
              <w:t>Требования к швам, фурнитуре спецодежды и спецобуви</w:t>
            </w:r>
          </w:p>
        </w:tc>
        <w:tc>
          <w:tcPr>
            <w:tcW w:w="8313" w:type="dxa"/>
            <w:tcBorders/>
            <w:shd w:color="auto" w:fill="auto" w:val="clear"/>
          </w:tcPr>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Разрывная нагрузка швов – не менее 250 Н (п. 4.3 ТР ТС 019/2011). Метод определения по ГОСТ 28073-89 «Изделия швейные. Методы определения разрывной нагрузки, удлинения ниточных швов, раздвигаемости нитей ткани в швах».</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Устойчивость окраски по ГОСТ 11209-2014 «Ткани для специальной одежды. Общие технические требования. Методы испытаний».</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Допускаемое отклонение размеров деталей нижних настилов не должно превышать отклонений в сторону уменьшения 1,5-2 мм.</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Концы швов должны быть закреплены путем прошивания взад-вперед или снабжены закрепкой (с учетом особенностей оборудования).</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Входы в карман, разрезы, застежки и др. должны быть дополнительно скреплены на специальных закрепочных машинах, для обеспечения безупречного внешнего вида и продления срока эксплуатации этих элементов.</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и закрепляющие строчки не должны быть прерваны или рассечены по лицевой стороне.</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Количество стежков и виды применяемых строчек при пошиве изделия должны соответствовать ГОСТ 12807-2003 и ГОСТ 29122-91.</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Изделие должно быть укомплектовано запасной пуговицей и лоскутом (-тами) ткани 10*10 см для ремонта изделия.</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Фурнитура (нитки, пуговицы, молнии) должна быть устойчива к воздействию пониженных температур, химической чистке, тепловой обработке.</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На изделиях должны отсутствовать лишние нитки (ровный шов, обрезанные нитки), также не допускается сваливание строчек с края деталей или пропуск стежков.</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Утеплитель должен быть качественно пришит, локально прилегать.</w:t>
            </w:r>
          </w:p>
          <w:p>
            <w:pPr>
              <w:pStyle w:val="ListParagraph"/>
              <w:widowControl w:val="false"/>
              <w:numPr>
                <w:ilvl w:val="2"/>
                <w:numId w:val="9"/>
              </w:numPr>
              <w:suppressAutoHyphens w:val="true"/>
              <w:spacing w:before="60" w:after="6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Должно отсутствовать вспучивание полимерных покрытий. </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left"/>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маркированию</w:t>
            </w:r>
          </w:p>
        </w:tc>
        <w:tc>
          <w:tcPr>
            <w:tcW w:w="8313" w:type="dxa"/>
            <w:tcBorders/>
            <w:shd w:color="auto" w:fill="auto" w:val="clear"/>
            <w:vAlign w:val="center"/>
          </w:tcPr>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Маркировка СИЗ должна соответствовать следующим требованиям:</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1.5.1.1. Каждая единица СИЗ, включая сменные комплектующие изделия, должна иметь маркировку. Маркировка наносится непосредственно на изделие и на его упаковку.</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Если маркировку невозможно нанести непосредственно на изделие, она наносится на трудноудаляемую этикетку, прикрепленную к изделию. 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 xml:space="preserve">1.5.1.2. Маркировка, наносимая </w:t>
            </w:r>
            <w:r>
              <w:rPr>
                <w:rFonts w:eastAsia="Calibri" w:cs="Times New Roman"/>
                <w:i/>
                <w:color w:val="000000"/>
                <w:kern w:val="0"/>
                <w:sz w:val="24"/>
                <w:szCs w:val="24"/>
                <w:lang w:val="ru-RU" w:eastAsia="ru-RU" w:bidi="ar-SA"/>
              </w:rPr>
              <w:t>непосредственно</w:t>
            </w:r>
            <w:r>
              <w:rPr>
                <w:rFonts w:eastAsia="Calibri" w:cs="Times New Roman"/>
                <w:color w:val="000000"/>
                <w:kern w:val="0"/>
                <w:sz w:val="24"/>
                <w:szCs w:val="24"/>
                <w:lang w:val="ru-RU" w:eastAsia="ru-RU" w:bidi="ar-SA"/>
              </w:rPr>
              <w:t xml:space="preserve"> </w:t>
            </w:r>
            <w:r>
              <w:rPr>
                <w:rFonts w:eastAsia="Calibri" w:cs="Times New Roman"/>
                <w:i/>
                <w:color w:val="000000"/>
                <w:kern w:val="0"/>
                <w:sz w:val="24"/>
                <w:szCs w:val="24"/>
                <w:lang w:val="ru-RU" w:eastAsia="ru-RU" w:bidi="ar-SA"/>
              </w:rPr>
              <w:t>на изделие</w:t>
            </w:r>
            <w:r>
              <w:rPr>
                <w:rFonts w:eastAsia="Calibri" w:cs="Times New Roman"/>
                <w:color w:val="000000"/>
                <w:kern w:val="0"/>
                <w:sz w:val="24"/>
                <w:szCs w:val="24"/>
                <w:lang w:val="ru-RU" w:eastAsia="ru-RU" w:bidi="ar-SA"/>
              </w:rPr>
              <w:t xml:space="preserve"> или на трудноудаляемую этикетку, прикрепленную к изделию, должна содержать:</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изделия (при наличии – наименование модели, кода, артикула);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изготовителя и (или) его товарный знак (при наличии);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защитные свойства;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размер (при наличии);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дату (месяц, год) изготовления или дату окончания срока годности, если она установлена;</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способах ухода и требованиях к утилизации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0"/>
              </w:numPr>
              <w:tabs>
                <w:tab w:val="clear" w:pos="720"/>
                <w:tab w:val="left" w:pos="0" w:leader="none"/>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другую информацию в соответствии с документацией изготовителя;</w:t>
            </w:r>
          </w:p>
          <w:p>
            <w:pPr>
              <w:pStyle w:val="Normal"/>
              <w:widowControl w:val="false"/>
              <w:tabs>
                <w:tab w:val="clear" w:pos="720"/>
                <w:tab w:val="left" w:pos="0" w:leader="none"/>
                <w:tab w:val="left" w:pos="1560" w:leader="none"/>
              </w:tabs>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1.5.1.3. Информация должна наноситься любым рельефным способом (в том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СИЗ. Информация должна быть легко читаемой, стойкой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p>
          <w:p>
            <w:pPr>
              <w:pStyle w:val="Normal"/>
              <w:widowControl w:val="false"/>
              <w:suppressAutoHyphens w:val="true"/>
              <w:spacing w:before="0" w:after="0"/>
              <w:jc w:val="both"/>
              <w:rPr>
                <w:rFonts w:eastAsia="Calibri"/>
                <w:color w:val="000000"/>
                <w:sz w:val="24"/>
                <w:szCs w:val="24"/>
              </w:rPr>
            </w:pPr>
            <w:r>
              <w:rPr>
                <w:rFonts w:eastAsia="Calibri" w:cs="Times New Roman"/>
                <w:color w:val="000000"/>
                <w:kern w:val="0"/>
                <w:sz w:val="24"/>
                <w:szCs w:val="24"/>
                <w:lang w:val="ru-RU" w:eastAsia="ru-RU" w:bidi="ar-SA"/>
              </w:rPr>
              <w:t xml:space="preserve">1.5.1.4. Маркировка, наносимая на </w:t>
            </w:r>
            <w:r>
              <w:rPr>
                <w:rFonts w:eastAsia="Calibri" w:cs="Times New Roman"/>
                <w:i/>
                <w:color w:val="000000"/>
                <w:kern w:val="0"/>
                <w:sz w:val="24"/>
                <w:szCs w:val="24"/>
                <w:lang w:val="ru-RU" w:eastAsia="ru-RU" w:bidi="ar-SA"/>
              </w:rPr>
              <w:t>упаковку изделия</w:t>
            </w:r>
            <w:r>
              <w:rPr>
                <w:rFonts w:eastAsia="Calibri" w:cs="Times New Roman"/>
                <w:color w:val="000000"/>
                <w:kern w:val="0"/>
                <w:sz w:val="24"/>
                <w:szCs w:val="24"/>
                <w:lang w:val="ru-RU" w:eastAsia="ru-RU" w:bidi="ar-SA"/>
              </w:rPr>
              <w:t xml:space="preserve">, должна содержать: </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изделия (при наличии – наименование модели, кода, артикула);</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страны-изготовителя;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наименование, юридический адрес и торговую марку (при наличии) изготовителя;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размер (при наличии);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защитные свойства изделия;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способы ухода за изделием (при необходимости);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дату изготовления, и (или) дату окончания срока годности, если установлены;</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срок хранения для СИЗ, теряющих защитные свойства в процессе хранения;</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1"/>
              </w:numPr>
              <w:tabs>
                <w:tab w:val="clear" w:pos="720"/>
                <w:tab w:val="left" w:pos="457" w:leader="none"/>
              </w:tabs>
              <w:suppressAutoHyphens w:val="true"/>
              <w:spacing w:before="0" w:after="0"/>
              <w:ind w:left="0" w:firstLine="173"/>
              <w:contextualSpacing/>
              <w:jc w:val="both"/>
              <w:rPr>
                <w:color w:val="000000"/>
              </w:rPr>
            </w:pPr>
            <w:r>
              <w:rPr>
                <w:rFonts w:cs="Times New Roman"/>
                <w:color w:val="000000"/>
                <w:kern w:val="0"/>
                <w:lang w:val="ru-RU" w:eastAsia="ru-RU" w:bidi="ar-SA"/>
              </w:rPr>
              <w:t>другую информацию в соответствии с документацией изготовителя.</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 xml:space="preserve">Маркировка и эксплуатационные документы выполняются на официальном и государственном(ых) языке(ах) государства(в) – члена(ов) Таможенного союза, за исключением наименования изготовителя и наименования изделия, а также другого текста, входящего в зарегистрированный товарный знак. Допускается одновременное использование нескольких языков государств – членов Таможенного союза. </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Маркировка СИЗ должна быть разборчивой, легкочитаемой и нанесена на поверхность продукции (этикетки, упаковки), доступную для осмотра без снятия упаковки, разборки или применения инструментов.</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Обувь должна быть промаркирована средством идентификации в соответствии с постановлением Правительства Российской Федерации от 05.07.2019 № 860 «Об утверждении Правил маркировки обувных товаров средствами идентификации и особенностях внедрения государственной информационной системы мониторинга за оборотом товаров, подлежащих обязательной маркировке средствами идентификации, в отношении обувных товаров».</w:t>
            </w:r>
          </w:p>
          <w:p>
            <w:pPr>
              <w:pStyle w:val="ListParagraph"/>
              <w:widowControl w:val="false"/>
              <w:numPr>
                <w:ilvl w:val="2"/>
                <w:numId w:val="9"/>
              </w:numPr>
              <w:suppressAutoHyphens w:val="true"/>
              <w:spacing w:before="0" w:after="0"/>
              <w:ind w:left="0" w:hanging="0"/>
              <w:contextualSpacing/>
              <w:jc w:val="both"/>
              <w:rPr>
                <w:color w:val="000000"/>
              </w:rPr>
            </w:pPr>
            <w:r>
              <w:rPr>
                <w:rFonts w:cs="Times New Roman"/>
                <w:color w:val="000000"/>
                <w:kern w:val="0"/>
                <w:lang w:val="ru-RU" w:eastAsia="ru-RU" w:bidi="ar-SA"/>
              </w:rPr>
              <w:t>Указания по эксплуатации СИЗ включаются в эксплуатационную документацию на СИЗ и должны содержать:</w:t>
            </w:r>
          </w:p>
          <w:p>
            <w:pPr>
              <w:pStyle w:val="ListParagraph"/>
              <w:widowControl w:val="false"/>
              <w:numPr>
                <w:ilvl w:val="0"/>
                <w:numId w:val="12"/>
              </w:numPr>
              <w:tabs>
                <w:tab w:val="clear" w:pos="720"/>
                <w:tab w:val="left" w:pos="0" w:leader="none"/>
                <w:tab w:val="left" w:pos="1219" w:leader="none"/>
              </w:tabs>
              <w:suppressAutoHyphens w:val="true"/>
              <w:spacing w:before="0" w:after="0"/>
              <w:ind w:left="-64" w:firstLine="283"/>
              <w:contextualSpacing/>
              <w:jc w:val="both"/>
              <w:rPr>
                <w:color w:val="000000"/>
              </w:rPr>
            </w:pPr>
            <w:r>
              <w:rPr>
                <w:rFonts w:cs="Times New Roman"/>
                <w:color w:val="000000"/>
                <w:kern w:val="0"/>
                <w:lang w:val="ru-RU" w:eastAsia="ru-RU" w:bidi="ar-SA"/>
              </w:rPr>
              <w:t>область применения;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ограничения применения СИЗ по факторам воздействия;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вид СИЗ согласно приложению 1 к ТР ТС 019/2011;</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наименование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сведения о способах безопасного применения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информацию о размере СИЗ в единицах измерения, применяемых в государствах – членах Таможенного союза (при наличии);</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правила, условия и сроки хранения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требования к безопасной транспортировке СИЗ (при наличии таких требований);</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требования по утилизации СИЗ (при наличии таких требований);</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единый знак обращения продукции на рынке государств – членов Таможенного союза;</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обозначение ТР ТС 019/2011, требованиям которого должно соответствовать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наименование страны-изготовителя и наименование изготовителя, его юридический адрес;</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сведения о документе, в соответствии с которым изготовлено СИЗ;</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дату изготовления и / или срок хранения или дату истечения срока годности, если они установлены, допускается указание срока хранения с обязательным указанием информации о месте нанесения и способе определения даты изготовления или окончания срока хранения;</w:t>
            </w:r>
          </w:p>
          <w:p>
            <w:pPr>
              <w:pStyle w:val="ListParagraph"/>
              <w:widowControl w:val="false"/>
              <w:numPr>
                <w:ilvl w:val="0"/>
                <w:numId w:val="12"/>
              </w:numPr>
              <w:tabs>
                <w:tab w:val="clear" w:pos="720"/>
                <w:tab w:val="left" w:pos="0" w:leader="none"/>
                <w:tab w:val="left" w:pos="1219" w:leader="none"/>
              </w:tabs>
              <w:suppressAutoHyphens w:val="true"/>
              <w:spacing w:before="0" w:after="0"/>
              <w:ind w:left="226" w:hanging="0"/>
              <w:contextualSpacing/>
              <w:jc w:val="both"/>
              <w:rPr>
                <w:color w:val="000000"/>
              </w:rPr>
            </w:pPr>
            <w:r>
              <w:rPr>
                <w:rFonts w:cs="Times New Roman"/>
                <w:color w:val="000000"/>
                <w:kern w:val="0"/>
                <w:lang w:val="ru-RU" w:eastAsia="ru-RU" w:bidi="ar-SA"/>
              </w:rPr>
              <w:t>гарантии изготовителя при использовании изделия по назначению.</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ind w:right="-152" w:hanging="0"/>
              <w:jc w:val="left"/>
              <w:rPr>
                <w:sz w:val="24"/>
                <w:szCs w:val="24"/>
              </w:rPr>
            </w:pPr>
            <w:r>
              <w:rPr>
                <w:rFonts w:eastAsia="Times New Roman" w:cs="Times New Roman"/>
                <w:kern w:val="0"/>
                <w:sz w:val="24"/>
                <w:szCs w:val="24"/>
                <w:lang w:val="ru-RU" w:eastAsia="ru-RU" w:bidi="ar-SA"/>
              </w:rPr>
              <w:t>Требования к корпоративному стилю</w:t>
            </w:r>
          </w:p>
        </w:tc>
        <w:tc>
          <w:tcPr>
            <w:tcW w:w="8313" w:type="dxa"/>
            <w:tcBorders/>
            <w:shd w:color="auto" w:fill="auto" w:val="clear"/>
          </w:tcPr>
          <w:p>
            <w:pPr>
              <w:pStyle w:val="Normal"/>
              <w:widowControl w:val="false"/>
              <w:suppressAutoHyphens w:val="true"/>
              <w:spacing w:before="0" w:after="0"/>
              <w:jc w:val="both"/>
              <w:rPr>
                <w:rFonts w:ascii="Times New Roman" w:hAnsi="Times New Roman" w:eastAsia="Times New Roman" w:cs="Times New Roman"/>
                <w:kern w:val="0"/>
                <w:lang w:val="ru-RU" w:eastAsia="ru-RU" w:bidi="ar-SA"/>
              </w:rPr>
            </w:pPr>
            <w:r>
              <w:rPr>
                <w:rFonts w:eastAsia="Times New Roman" w:cs="Times New Roman"/>
                <w:kern w:val="0"/>
                <w:sz w:val="24"/>
                <w:szCs w:val="24"/>
                <w:lang w:val="ru-RU" w:eastAsia="ru-RU" w:bidi="ar-SA"/>
              </w:rPr>
              <w:t>Требования к корпоративному стилю Группы РусГидро указаны в Приложении №1 к настоящим ТТ</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0"/>
                <w:numId w:val="9"/>
              </w:numPr>
              <w:suppressAutoHyphens w:val="true"/>
              <w:spacing w:before="60" w:after="60"/>
              <w:ind w:left="0"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0293" w:type="dxa"/>
            <w:gridSpan w:val="2"/>
            <w:tcBorders/>
            <w:vAlign w:val="center"/>
          </w:tcPr>
          <w:p>
            <w:pPr>
              <w:pStyle w:val="Normal"/>
              <w:widowControl w:val="false"/>
              <w:suppressAutoHyphens w:val="true"/>
              <w:spacing w:before="0" w:after="0"/>
              <w:jc w:val="left"/>
              <w:rPr>
                <w:b/>
                <w:sz w:val="24"/>
                <w:szCs w:val="24"/>
              </w:rPr>
            </w:pPr>
            <w:r>
              <w:rPr>
                <w:rFonts w:eastAsia="Times New Roman" w:cs="Times New Roman"/>
                <w:b/>
                <w:kern w:val="0"/>
                <w:sz w:val="24"/>
                <w:szCs w:val="24"/>
                <w:lang w:val="ru-RU" w:eastAsia="ru-RU" w:bidi="ar-SA"/>
              </w:rPr>
              <w:t>Требования к характеристикам продукции в корпоративном стиле</w:t>
            </w:r>
          </w:p>
        </w:tc>
        <w:tc>
          <w:tcPr>
            <w:tcW w:w="2012"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c>
          <w:tcPr>
            <w:tcW w:w="2331" w:type="dxa"/>
            <w:tcBorders/>
          </w:tcPr>
          <w:p>
            <w:pPr>
              <w:pStyle w:val="Normal"/>
              <w:widowControl w:val="false"/>
              <w:suppressAutoHyphens w:val="true"/>
              <w:spacing w:before="0" w:after="0"/>
              <w:jc w:val="center"/>
              <w:rPr>
                <w:b/>
                <w:sz w:val="24"/>
                <w:szCs w:val="24"/>
              </w:rPr>
            </w:pPr>
            <w:r>
              <w:rPr>
                <w:rFonts w:eastAsia="Times New Roman" w:cs="Times New Roman"/>
                <w:b/>
                <w:kern w:val="0"/>
                <w:sz w:val="24"/>
                <w:szCs w:val="24"/>
                <w:lang w:val="ru-RU" w:eastAsia="ru-RU" w:bidi="ar-SA"/>
              </w:rPr>
              <w:t>-//-</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костюму летнему для защиты от ОПЗ для ИТР</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№1, № 2 в Таблице 1.1. настоящих ТТ</w:t>
            </w:r>
            <w:r>
              <w:rPr>
                <w:rFonts w:eastAsia="Times New Roman" w:cs="Times New Roman"/>
                <w:kern w:val="0"/>
                <w:sz w:val="24"/>
                <w:szCs w:val="24"/>
                <w:lang w:val="ru-RU" w:eastAsia="ru-RU" w:bidi="ar-SA"/>
              </w:rPr>
              <w:t>)</w:t>
            </w:r>
          </w:p>
        </w:tc>
        <w:tc>
          <w:tcPr>
            <w:tcW w:w="8313" w:type="dxa"/>
            <w:tcBorders/>
            <w:shd w:color="auto" w:fill="auto" w:val="clear"/>
          </w:tcPr>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Костюм мужской / женский летний для руководителей и специалистов состоит из куртки и брюк, предназначен для защиты от общих производственных загрязнений и Ми З. Должен соответствовать ТР ТС 019/2011 и изготавливаться с учетом требований ГОСТ 12.4.280-2014.</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Выполнен из тканей трех цветов: основной – темно-синий, отделочный - васильковый и оранжевый. </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b/>
                <w:kern w:val="0"/>
                <w:lang w:val="ru-RU" w:eastAsia="ru-RU" w:bidi="ar-SA"/>
              </w:rPr>
              <w:t xml:space="preserve">Куртка </w:t>
            </w:r>
            <w:r>
              <w:rPr>
                <w:rFonts w:cs="Times New Roman"/>
                <w:kern w:val="0"/>
                <w:lang w:val="ru-RU" w:eastAsia="ru-RU" w:bidi="ar-SA"/>
              </w:rPr>
              <w:t>прямого силуэта, с центральной потайной застежкой на 4 петли и пуговицы, и со сквозной верхней петлей, с втачными рукавами и втачным отложным воротником.</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Каждая полочка и спинка с притачной кокеткой светло-василькового цвета и кантом оранжевого цвета шириной 3 мм по шву притачивания кокеток.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Полочки с нагрудными и нижними накладными карманами. Нагрудные карманы: на правой полочке - накладной комбинированный карман с расстроченным отделением для карандаша со стороны борта и карманом для телефона с клапаном со стороны проймы, фиксирующийся на контактную ленту (допускается притачивания паты кармана в шов кокетки);</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На левой полочке – накладной карман с клапаном, фиксирующийся на контактную ленту. Нижние боковые карманы с объемом по боковым сторонам и с клапаном, фиксирующимся на контактную ленту. Уголки клапанов карманов скошенные. На левой полочке расположен внутренний навесной карман, застегивающийся на контактную ленту посередине.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Спинка с кулисой по линии талии.</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Рукава втачные, двухшовные, с фигурными налокотниками, с манжетами, застегивающимися на петлю и пуговицу.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Под проймой вентиляционные отверстия в виде металлических люверсов для воздухообмена.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По шву втачивания нижнего воротника в горловину спинки расположена вешалка.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удобства пользования контактными застежками в костюме применяются «флажки» - держатели оранжевого цвета.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Из ткани оранжевого цвета выполнены «флажки» - держатели, клапан кармана для телефона.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Внизу кокеток полочек и спинки, внизу рукавов под налокотниками проходит охватывающая световозвращающая полоса шириной 25 мм.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Внизу шва настрачивания световозвращающей полосы на рукавах проходит кант шириной 2-3 мм оранжевого цвета.</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b/>
                <w:kern w:val="0"/>
                <w:lang w:val="ru-RU" w:eastAsia="ru-RU" w:bidi="ar-SA"/>
              </w:rPr>
              <w:t>Брюки</w:t>
            </w:r>
            <w:r>
              <w:rPr>
                <w:rFonts w:cs="Times New Roman"/>
                <w:kern w:val="0"/>
                <w:lang w:val="ru-RU" w:eastAsia="ru-RU" w:bidi="ar-SA"/>
              </w:rPr>
              <w:t xml:space="preserve"> прямого силуэта, с застежкой гульфика на тесьму – «молнию», с притачным поясом, пятью шлевками и патами для регулирования объема на одну петлю и две пуговицы в области боковых швов.</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На передних половинках брюк карманы с отрезным бочком и наколенники. </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Задние половинки брюк с вытачками, с усилительными накладками в области среднего шва.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Охватывающая световозвращающая полоса шириной 25 мм проходит внизу под наколенниками. Внизу шва настрачивания световозвращающей полосы проходит кант шириной 3 мм оранжевого цвета.</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С изнаночной стороны на куртку и брюки настрочена лента «ФИО».</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Все отделочные строчки выполнены белыми нитками. Места крепления карманов дополнительно укреплены автоматической закрепкой.</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Сигнальные элементы</w:t>
            </w:r>
            <w:r>
              <w:rPr>
                <w:rFonts w:cs="Times New Roman"/>
                <w:kern w:val="0"/>
                <w:lang w:val="ru-RU" w:eastAsia="ru-RU" w:bidi="ar-SA"/>
              </w:rPr>
              <w:t>: полосы из световозвращающего материала шириной 25 мм.</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Применяемые материалы:</w:t>
            </w:r>
          </w:p>
          <w:p>
            <w:pPr>
              <w:pStyle w:val="ListParagraph"/>
              <w:widowControl w:val="false"/>
              <w:numPr>
                <w:ilvl w:val="3"/>
                <w:numId w:val="9"/>
              </w:numPr>
              <w:tabs>
                <w:tab w:val="clear" w:pos="720"/>
                <w:tab w:val="left" w:pos="882" w:leader="none"/>
                <w:tab w:val="left" w:pos="1144"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u w:val="single"/>
                <w:lang w:val="ru-RU" w:eastAsia="ru-RU" w:bidi="ar-SA"/>
              </w:rPr>
              <w:t xml:space="preserve"> </w:t>
            </w:r>
            <w:r>
              <w:rPr>
                <w:rFonts w:cs="Times New Roman"/>
                <w:kern w:val="0"/>
                <w:u w:val="single"/>
                <w:lang w:val="ru-RU" w:eastAsia="ru-RU" w:bidi="ar-SA"/>
              </w:rPr>
              <w:t>Основная ткань</w:t>
            </w:r>
            <w:r>
              <w:rPr>
                <w:rFonts w:cs="Times New Roman"/>
                <w:b/>
                <w:kern w:val="0"/>
                <w:lang w:val="ru-RU" w:eastAsia="ru-RU" w:bidi="ar-SA"/>
              </w:rPr>
              <w:t xml:space="preserve">: </w:t>
            </w:r>
            <w:r>
              <w:rPr>
                <w:rFonts w:cs="Times New Roman"/>
                <w:kern w:val="0"/>
                <w:lang w:val="ru-RU" w:eastAsia="ru-RU" w:bidi="ar-SA"/>
              </w:rPr>
              <w:t>хлопчатобумажная</w:t>
            </w:r>
            <w:r>
              <w:rPr>
                <w:rFonts w:cs="Times New Roman"/>
                <w:b/>
                <w:kern w:val="0"/>
                <w:lang w:val="ru-RU" w:eastAsia="ru-RU" w:bidi="ar-SA"/>
              </w:rPr>
              <w:t>,</w:t>
            </w:r>
            <w:r>
              <w:rPr>
                <w:rFonts w:cs="Times New Roman"/>
                <w:kern w:val="0"/>
                <w:lang w:val="ru-RU" w:eastAsia="ru-RU" w:bidi="ar-SA"/>
              </w:rPr>
              <w:t xml:space="preserve"> состав сырья 100% хлопок, плотность 230 (+/-10 г/м</w:t>
            </w:r>
            <w:r>
              <w:rPr>
                <w:rFonts w:cs="Times New Roman"/>
                <w:kern w:val="0"/>
                <w:vertAlign w:val="superscript"/>
                <w:lang w:val="ru-RU" w:eastAsia="ru-RU" w:bidi="ar-SA"/>
              </w:rPr>
              <w:t>2</w:t>
            </w:r>
            <w:r>
              <w:rPr>
                <w:rFonts w:cs="Times New Roman"/>
                <w:kern w:val="0"/>
                <w:lang w:val="ru-RU" w:eastAsia="ru-RU" w:bidi="ar-SA"/>
              </w:rPr>
              <w:t>) г/м</w:t>
            </w:r>
            <w:r>
              <w:rPr>
                <w:rFonts w:cs="Times New Roman"/>
                <w:kern w:val="0"/>
                <w:vertAlign w:val="superscript"/>
                <w:lang w:val="ru-RU" w:eastAsia="ru-RU" w:bidi="ar-SA"/>
              </w:rPr>
              <w:t>2</w:t>
            </w:r>
            <w:r>
              <w:rPr>
                <w:rFonts w:cs="Times New Roman"/>
                <w:kern w:val="0"/>
                <w:lang w:val="ru-RU" w:eastAsia="ru-RU" w:bidi="ar-SA"/>
              </w:rPr>
              <w:t xml:space="preserve"> с ВО отделкой, цвет: основной – синий, отделочный – васильковый и оранжевый.</w:t>
            </w:r>
          </w:p>
          <w:p>
            <w:pPr>
              <w:pStyle w:val="ListParagraph"/>
              <w:widowControl w:val="false"/>
              <w:numPr>
                <w:ilvl w:val="3"/>
                <w:numId w:val="9"/>
              </w:numPr>
              <w:tabs>
                <w:tab w:val="clear" w:pos="720"/>
                <w:tab w:val="left" w:pos="882" w:leader="none"/>
                <w:tab w:val="left" w:pos="1156" w:leader="none"/>
              </w:tabs>
              <w:suppressAutoHyphens w:val="true"/>
              <w:spacing w:before="0" w:after="0"/>
              <w:ind w:left="0" w:firstLine="40"/>
              <w:contextualSpacing/>
              <w:jc w:val="both"/>
              <w:rPr>
                <w:u w:val="single"/>
              </w:rPr>
            </w:pPr>
            <w:r>
              <w:rPr>
                <w:rFonts w:cs="Times New Roman"/>
                <w:kern w:val="0"/>
                <w:u w:val="single"/>
                <w:lang w:val="ru-RU" w:eastAsia="ru-RU" w:bidi="ar-SA"/>
              </w:rPr>
              <w:t xml:space="preserve"> </w:t>
            </w:r>
            <w:r>
              <w:rPr>
                <w:rFonts w:cs="Times New Roman"/>
                <w:kern w:val="0"/>
                <w:u w:val="single"/>
                <w:lang w:val="ru-RU" w:eastAsia="ru-RU" w:bidi="ar-SA"/>
              </w:rPr>
              <w:t>Физико-механические характеристики тканей верха, из которых изготовлены костюмы, должны удовлетворять следующим требованиям:</w:t>
            </w:r>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1" w:name="_Toc150437246"/>
            <w:bookmarkStart w:id="32" w:name="_Toc194314068"/>
            <w:r>
              <w:rPr>
                <w:rFonts w:eastAsia="Times New Roman" w:cs="Times New Roman"/>
                <w:kern w:val="0"/>
                <w:sz w:val="24"/>
                <w:szCs w:val="24"/>
                <w:lang w:val="ru-RU" w:eastAsia="ru-RU" w:bidi="ar-SA"/>
              </w:rPr>
              <w:t>- разрывная нагрузка для ткани 100 % х/б, плотностью 230 +/-10 г/м2: основа – 600 Н, уток – 400 Н (п.5.6 таб.2 ГОСТ 11209-2014);</w:t>
            </w:r>
            <w:bookmarkEnd w:id="31"/>
            <w:bookmarkEnd w:id="32"/>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3" w:name="_Toc150437247"/>
            <w:bookmarkStart w:id="34" w:name="_Toc194314069"/>
            <w:r>
              <w:rPr>
                <w:rFonts w:eastAsia="Times New Roman" w:cs="Times New Roman"/>
                <w:kern w:val="0"/>
                <w:sz w:val="24"/>
                <w:szCs w:val="24"/>
                <w:lang w:val="ru-RU" w:eastAsia="ru-RU" w:bidi="ar-SA"/>
              </w:rPr>
              <w:t>- изменение размеров после мокрой обработки или химической чистки для ткани 100% х/б, не более по основе – 3,5% и по утку +/-2,0% (п.5.6 таб. 2 ГОСТ 11209-2014);</w:t>
            </w:r>
            <w:bookmarkEnd w:id="33"/>
            <w:bookmarkEnd w:id="34"/>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5" w:name="_Toc150437248"/>
            <w:bookmarkStart w:id="36" w:name="_Toc194314070"/>
            <w:r>
              <w:rPr>
                <w:rFonts w:eastAsia="Times New Roman" w:cs="Times New Roman"/>
                <w:kern w:val="0"/>
                <w:sz w:val="24"/>
                <w:szCs w:val="24"/>
                <w:lang w:val="ru-RU" w:eastAsia="ru-RU" w:bidi="ar-SA"/>
              </w:rPr>
              <w:t>- воздухопроницаемость - не менее 20 дм</w:t>
            </w:r>
            <w:r>
              <w:rPr>
                <w:rFonts w:eastAsia="Times New Roman" w:cs="Times New Roman"/>
                <w:kern w:val="0"/>
                <w:sz w:val="24"/>
                <w:szCs w:val="24"/>
                <w:vertAlign w:val="superscript"/>
                <w:lang w:val="ru-RU" w:eastAsia="ru-RU" w:bidi="ar-SA"/>
              </w:rPr>
              <w:t>3</w:t>
            </w:r>
            <w:r>
              <w:rPr>
                <w:rFonts w:eastAsia="Times New Roman" w:cs="Times New Roman"/>
                <w:kern w:val="0"/>
                <w:sz w:val="24"/>
                <w:szCs w:val="24"/>
                <w:lang w:val="ru-RU" w:eastAsia="ru-RU" w:bidi="ar-SA"/>
              </w:rPr>
              <w:t>/м</w:t>
            </w:r>
            <w:r>
              <w:rPr>
                <w:rFonts w:eastAsia="Times New Roman" w:cs="Times New Roman"/>
                <w:kern w:val="0"/>
                <w:sz w:val="24"/>
                <w:szCs w:val="24"/>
                <w:vertAlign w:val="superscript"/>
                <w:lang w:val="ru-RU" w:eastAsia="ru-RU" w:bidi="ar-SA"/>
              </w:rPr>
              <w:t>2</w:t>
            </w:r>
            <w:r>
              <w:rPr>
                <w:rFonts w:eastAsia="Times New Roman" w:cs="Times New Roman"/>
                <w:kern w:val="0"/>
                <w:sz w:val="24"/>
                <w:szCs w:val="24"/>
                <w:lang w:val="ru-RU" w:eastAsia="ru-RU" w:bidi="ar-SA"/>
              </w:rPr>
              <w:t>с (п.5.9 таб. 3 ГОСТ 11209-2014);</w:t>
            </w:r>
            <w:bookmarkEnd w:id="35"/>
            <w:bookmarkEnd w:id="36"/>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7" w:name="_Toc150437249"/>
            <w:bookmarkStart w:id="38" w:name="_Toc194314071"/>
            <w:r>
              <w:rPr>
                <w:rFonts w:eastAsia="Times New Roman" w:cs="Times New Roman"/>
                <w:kern w:val="0"/>
                <w:sz w:val="24"/>
                <w:szCs w:val="24"/>
                <w:lang w:val="ru-RU" w:eastAsia="ru-RU" w:bidi="ar-SA"/>
              </w:rPr>
              <w:t>- гигроскопичность ткани, контактирующей с телом человека, %, – не менее 5 (п.5.4.1.5 таб. 3 ГОСТ 12.4.280-2014);</w:t>
            </w:r>
            <w:bookmarkEnd w:id="37"/>
            <w:bookmarkEnd w:id="38"/>
          </w:p>
          <w:p>
            <w:pPr>
              <w:pStyle w:val="Normal"/>
              <w:keepNext w:val="true"/>
              <w:widowControl w:val="false"/>
              <w:numPr>
                <w:ilvl w:val="0"/>
                <w:numId w:val="0"/>
              </w:numPr>
              <w:tabs>
                <w:tab w:val="clear" w:pos="720"/>
                <w:tab w:val="left" w:pos="426" w:leader="none"/>
                <w:tab w:val="left" w:pos="860" w:leader="none"/>
              </w:tabs>
              <w:suppressAutoHyphens w:val="true"/>
              <w:spacing w:before="0" w:after="0"/>
              <w:ind w:left="0" w:firstLine="323"/>
              <w:jc w:val="both"/>
              <w:outlineLvl w:val="1"/>
              <w:rPr>
                <w:sz w:val="24"/>
                <w:szCs w:val="24"/>
              </w:rPr>
            </w:pPr>
            <w:bookmarkStart w:id="39" w:name="_Toc150437250"/>
            <w:bookmarkStart w:id="40" w:name="_Toc194314072"/>
            <w:r>
              <w:rPr>
                <w:rFonts w:eastAsia="Times New Roman" w:cs="Times New Roman"/>
                <w:kern w:val="0"/>
                <w:sz w:val="24"/>
                <w:szCs w:val="24"/>
                <w:lang w:val="ru-RU" w:eastAsia="ru-RU" w:bidi="ar-SA"/>
              </w:rPr>
              <w:t>- устойчивость окраски к воздействию стирок, не менее, баллов: 4/4 (п.5.5 таб. 1 ГОСТ 11209-2014).</w:t>
            </w:r>
            <w:bookmarkEnd w:id="39"/>
            <w:bookmarkEnd w:id="40"/>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Каждый костюм должен быть упакован в индивидуальный полиэтиленовый пакет.</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b/>
              </w:rPr>
            </w:pPr>
            <w:r>
              <w:rPr>
                <w:rFonts w:cs="Times New Roman"/>
                <w:b/>
                <w:kern w:val="0"/>
                <w:lang w:val="ru-RU" w:eastAsia="ru-RU" w:bidi="ar-SA"/>
              </w:rPr>
              <w:t>Для маркировки готовых изделий должны применяться:</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товарный ярлык;</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контрольная лента;</w:t>
            </w:r>
          </w:p>
          <w:p>
            <w:pPr>
              <w:pStyle w:val="Normal"/>
              <w:widowControl w:val="false"/>
              <w:tabs>
                <w:tab w:val="clear" w:pos="720"/>
                <w:tab w:val="left" w:pos="860" w:leader="none"/>
              </w:tabs>
              <w:suppressAutoHyphens w:val="true"/>
              <w:spacing w:before="0" w:after="0"/>
              <w:ind w:firstLine="40"/>
              <w:jc w:val="both"/>
              <w:rPr>
                <w:sz w:val="24"/>
                <w:szCs w:val="24"/>
              </w:rPr>
            </w:pPr>
            <w:r>
              <w:rPr>
                <w:rFonts w:eastAsia="Times New Roman" w:cs="Times New Roman"/>
                <w:kern w:val="0"/>
                <w:sz w:val="24"/>
                <w:szCs w:val="24"/>
                <w:lang w:val="ru-RU" w:eastAsia="ru-RU" w:bidi="ar-SA"/>
              </w:rPr>
              <w:t xml:space="preserve">   </w:t>
            </w:r>
            <w:r>
              <w:rPr>
                <w:rFonts w:eastAsia="Times New Roman" w:cs="Times New Roman"/>
                <w:kern w:val="0"/>
                <w:sz w:val="24"/>
                <w:szCs w:val="24"/>
                <w:lang w:val="ru-RU" w:eastAsia="ru-RU" w:bidi="ar-SA"/>
              </w:rPr>
              <w:t>- инструкция по эксплуатации.</w:t>
            </w:r>
          </w:p>
          <w:p>
            <w:pPr>
              <w:pStyle w:val="ListParagraph"/>
              <w:widowControl w:val="false"/>
              <w:numPr>
                <w:ilvl w:val="2"/>
                <w:numId w:val="9"/>
              </w:numPr>
              <w:tabs>
                <w:tab w:val="clear" w:pos="720"/>
                <w:tab w:val="left" w:pos="882"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декларация о соответствии (предоставляется при поставке СИЗ).</w:t>
            </w:r>
          </w:p>
          <w:p>
            <w:pPr>
              <w:pStyle w:val="ListParagraph"/>
              <w:widowControl w:val="false"/>
              <w:numPr>
                <w:ilvl w:val="2"/>
                <w:numId w:val="9"/>
              </w:numPr>
              <w:tabs>
                <w:tab w:val="clear" w:pos="720"/>
                <w:tab w:val="left" w:pos="860" w:leader="none"/>
              </w:tabs>
              <w:suppressAutoHyphens w:val="true"/>
              <w:spacing w:before="0" w:after="0"/>
              <w:ind w:left="0" w:firstLine="40"/>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костюма летнего для защиты от ОПЗ для ИТР приведен в Приложении №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2.4.27 В составе документации на закупку предоставляется протокол испытаний СИЗ (защитные свойства).</w:t>
            </w:r>
          </w:p>
        </w:tc>
        <w:tc>
          <w:tcPr>
            <w:tcW w:w="2012" w:type="dxa"/>
            <w:tcBorders/>
            <w:shd w:color="auto" w:fill="auto" w:val="clear"/>
          </w:tcPr>
          <w:p>
            <w:pPr>
              <w:pStyle w:val="Normal"/>
              <w:widowControl w:val="false"/>
              <w:tabs>
                <w:tab w:val="clear" w:pos="720"/>
                <w:tab w:val="left" w:pos="301" w:leader="none"/>
                <w:tab w:val="center" w:pos="951" w:leader="none"/>
              </w:tabs>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костюму на утепляющей прокладке для защиты от ОПЗ для ИТР (куртка + брюки)</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№3, № 4 в Таблице 1.1 настоящих ТТ)</w:t>
            </w:r>
          </w:p>
        </w:tc>
        <w:tc>
          <w:tcPr>
            <w:tcW w:w="8313" w:type="dxa"/>
            <w:tcBorders/>
            <w:shd w:color="auto" w:fill="auto" w:val="clear"/>
          </w:tcPr>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left"/>
              <w:rPr>
                <w:rFonts w:ascii="Times New Roman" w:hAnsi="Times New Roman" w:cs="Times New Roman"/>
                <w:kern w:val="0"/>
                <w:lang w:eastAsia="ru-RU" w:bidi="ar-SA"/>
              </w:rPr>
            </w:pPr>
            <w:r>
              <w:rPr>
                <w:rFonts w:cs="Times New Roman"/>
                <w:kern w:val="0"/>
                <w:lang w:val="ru-RU" w:eastAsia="ru-RU" w:bidi="ar-SA"/>
              </w:rPr>
              <w:t xml:space="preserve">Костюм состоит из куртки и брюк для </w:t>
            </w:r>
            <w:r>
              <w:rPr>
                <w:rFonts w:cs="Times New Roman"/>
                <w:kern w:val="0"/>
                <w:lang w:val="en-US" w:eastAsia="ru-RU" w:bidi="ar-SA"/>
              </w:rPr>
              <w:t>III</w:t>
            </w:r>
            <w:r>
              <w:rPr>
                <w:rFonts w:cs="Times New Roman"/>
                <w:kern w:val="0"/>
                <w:lang w:val="ru-RU" w:eastAsia="ru-RU" w:bidi="ar-SA"/>
              </w:rPr>
              <w:t>, климатических поясов. Выполнен из тканей трех цветов: основной – темно-синий, отделочный – васильковый и оранжевый</w:t>
            </w:r>
            <w:r>
              <w:rPr>
                <w:rFonts w:eastAsia="Times New Roman" w:cs="Times New Roman"/>
                <w:color w:val="FF0000"/>
                <w:kern w:val="0"/>
                <w:sz w:val="28"/>
                <w:szCs w:val="28"/>
                <w:lang w:val="ru-RU" w:eastAsia="ru-RU" w:bidi="ar-SA"/>
              </w:rPr>
              <w:t xml:space="preserve"> </w:t>
            </w:r>
            <w:r>
              <w:rPr>
                <w:rFonts w:cs="Times New Roman"/>
                <w:kern w:val="0"/>
                <w:lang w:val="ru-RU" w:eastAsia="ru-RU" w:bidi="ar-SA"/>
              </w:rPr>
              <w:t xml:space="preserve">предназначен для защиты от пониженных температур воздуха и ветра. </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Куртка прямого</w:t>
            </w:r>
            <w:r>
              <w:rPr>
                <w:rFonts w:cs="Times New Roman"/>
                <w:kern w:val="0"/>
                <w:lang w:val="ru-RU" w:eastAsia="ru-RU" w:bidi="ar-SA"/>
              </w:rPr>
              <w:t xml:space="preserve"> силуэта, с притачной утепляющей подкладкой (ткань верха + спанбонд + 3 слоя утеплителя + спанбонд + подкладка ПЭ); с центральной застежкой на 2-х замковую тесьму – «молнию»; с планкой под тесьму – «молнию» с флисом в верхней части, с ветрозащитным клапаном, фиксирующимся на контактную ленту в 4-х точках; с воротником «стойка»; со съемным утепленным капюшоном, с втачными рукавами.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Каждая полочка с отрезной кокеткой, с отрезной нижней частью и с продольными рельефами от шва притачивания кокетки до низа. Полочки с нагрудными наклонно-вертикальными карманами «листочка с втачными концами» и с нижними накладными карманами, которые закрываются клапанами, верхняя сторона которых входит в поперечный шов стачивания полочек. Боковые стороны карманов и клапанов входит в шов рельефа и в боковые швы. Левая полочка с вертикальным карманом (формата А4) на молнии под ветрозащитным клапаном. По шву притачивания кокетки левой полочки вставлена петля для крепления бейджа.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Спинка с кокеткой и по линии талии стягивается эластичной тесьмой.</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Рукава втачные, трехшовные, с налокотниками. Средняя часть с поперечным членением ниже линии локтя. Низ рукавов обработан швом в подгибку с закрытым срезом.</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Воротник – «стойка» утепленный; с патой, которая фиксируется на контактную ленту; с планкой и тесьмой – «молнией» для пристегивания капюшона. Внутренняя стойка выполнена из флиса.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Съемный утепленный капюшон с подбородочной частью, которая фиксируется на контактную ленту. По лицевому вырезу капюшона проходит кулиса, которая стягивается шляпной резинкой, проходящей через две пары люверсов и фиксаторы с кольцами-ограничителями. На средней части капюшона – затяжник, который фиксируется на контактную ленту. Капюшон пристегивается к горловине куртки на молнию.</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Низ куртки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На притачной утепляющей подкладке левой полочки расположен нагрудный накладной карман, который фиксируется на контактную ленту. Рукава притачной подкладки с трикотажными напульсниками. По шву горловины спинки расположена вешалка.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Кокетки полочек и спинки, верхняя деталь средней части рукава, нижние клапаны карманов, нижняя деталь ветрозащитного клапана, внешняя стойка выполнены из отделочной ткани василькового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Внизу кокеток полочек и спинки, внизу средней части рукавов проходит световозвражающая полоса шириной 25 мм. Внизу шва настрачивания световозвращающей полосы проходит кант шириной 2-3 мм оранжевого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Брюки</w:t>
            </w:r>
            <w:r>
              <w:rPr>
                <w:rFonts w:cs="Times New Roman"/>
                <w:kern w:val="0"/>
                <w:lang w:val="ru-RU" w:eastAsia="ru-RU" w:bidi="ar-SA"/>
              </w:rPr>
              <w:t xml:space="preserve"> с притачной утепляющей подкладкой (ткань верха + спанбонд + 2 слоя утеплителя + спанбонд + подкладка ПЭ), с застежкой гульфика на тесьму – «молнию» и две петли и на поясе, с бретелями из эластичной тесьмы с логотипом «РусГидро», пристегивающимися на пластмассовые пряжки. По линии талии не менее пяти шлевок.</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Передние половинки брюк с широким поясом, с боковыми карманами с наклонным входом и с отрезным бочком, и объемными наколенниками.</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Задние половинки брюк со спинкой, с усилительными накладками в области среднего шва, отрезные под коленом и по линии талии собраны на эластичную тесьму.</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Притачная утепляющая подкладка с напульсниками из ветрозащитной ткани с латексной эластичной тесьмой внизу.</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Внизу боковых швов застежка на молнию с пуфтой.</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Низ брюк обработан швом в подгибку с закрытым срезом.</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Под наколенниками проходит охватывающая световозвращающая полоса шириной 25 мм. Внизу шва настрачивания световозвращающей полосы проходит кант шириной 2-3 мм оранжевого цвета.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С изнаночной стороны на куртку и брюки настрочена лента «ФИО».</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b/>
              </w:rPr>
            </w:pPr>
            <w:r>
              <w:rPr>
                <w:rFonts w:cs="Times New Roman"/>
                <w:i/>
                <w:kern w:val="0"/>
                <w:lang w:val="ru-RU" w:eastAsia="ru-RU" w:bidi="ar-SA"/>
              </w:rPr>
              <w:t>Отделочные строчки выполнены нитками в цвет ткани, по которой проходит строчка.</w:t>
            </w:r>
          </w:p>
          <w:p>
            <w:pPr>
              <w:pStyle w:val="ListParagraph"/>
              <w:widowControl w:val="false"/>
              <w:numPr>
                <w:ilvl w:val="2"/>
                <w:numId w:val="9"/>
              </w:numPr>
              <w:tabs>
                <w:tab w:val="clear" w:pos="720"/>
                <w:tab w:val="left" w:pos="748" w:leader="none"/>
                <w:tab w:val="left" w:pos="882" w:leader="none"/>
              </w:tabs>
              <w:suppressAutoHyphens w:val="true"/>
              <w:spacing w:before="0" w:after="0"/>
              <w:ind w:left="0" w:hanging="0"/>
              <w:contextualSpacing/>
              <w:jc w:val="both"/>
              <w:rPr>
                <w:b/>
              </w:rPr>
            </w:pPr>
            <w:r>
              <w:rPr>
                <w:rFonts w:cs="Times New Roman"/>
                <w:b/>
                <w:kern w:val="0"/>
                <w:lang w:val="ru-RU" w:eastAsia="ru-RU" w:bidi="ar-SA"/>
              </w:rPr>
              <w:t>Применяемые материалы:</w:t>
            </w:r>
          </w:p>
          <w:p>
            <w:pPr>
              <w:pStyle w:val="ListParagraph"/>
              <w:widowControl w:val="false"/>
              <w:numPr>
                <w:ilvl w:val="3"/>
                <w:numId w:val="9"/>
              </w:numPr>
              <w:tabs>
                <w:tab w:val="clear" w:pos="720"/>
                <w:tab w:val="left" w:pos="748"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bCs/>
                <w:kern w:val="0"/>
                <w:lang w:val="ru-RU" w:eastAsia="ru-RU" w:bidi="ar-SA"/>
              </w:rPr>
              <w:t>Ткань верха:</w:t>
            </w:r>
            <w:r>
              <w:rPr>
                <w:rFonts w:cs="Times New Roman"/>
                <w:kern w:val="0"/>
                <w:lang w:val="ru-RU" w:eastAsia="ru-RU" w:bidi="ar-SA"/>
              </w:rPr>
              <w:t xml:space="preserve"> полиамидная мембранная, c водоотталкивающей отделкой, ветрозащитная, дышащая, с покрытием, переплетение рипстоп, состав сырья 100% ПА, плотность 180 (+10 г/м</w:t>
            </w:r>
            <w:r>
              <w:rPr>
                <w:rFonts w:cs="Times New Roman"/>
                <w:kern w:val="0"/>
                <w:vertAlign w:val="superscript"/>
                <w:lang w:val="ru-RU" w:eastAsia="ru-RU" w:bidi="ar-SA"/>
              </w:rPr>
              <w:t>2</w:t>
            </w:r>
            <w:r>
              <w:rPr>
                <w:rFonts w:cs="Times New Roman"/>
                <w:kern w:val="0"/>
                <w:lang w:val="ru-RU" w:eastAsia="ru-RU" w:bidi="ar-SA"/>
              </w:rPr>
              <w:t>)</w:t>
            </w:r>
            <w:r>
              <w:rPr>
                <w:rFonts w:cs="Times New Roman"/>
                <w:kern w:val="0"/>
                <w:vertAlign w:val="superscript"/>
                <w:lang w:val="ru-RU" w:eastAsia="ru-RU" w:bidi="ar-SA"/>
              </w:rPr>
              <w:t xml:space="preserve"> </w:t>
            </w:r>
            <w:r>
              <w:rPr>
                <w:rFonts w:cs="Times New Roman"/>
                <w:kern w:val="0"/>
                <w:lang w:val="ru-RU" w:eastAsia="ru-RU" w:bidi="ar-SA"/>
              </w:rPr>
              <w:t>г/м</w:t>
            </w:r>
            <w:r>
              <w:rPr>
                <w:rFonts w:cs="Times New Roman"/>
                <w:kern w:val="0"/>
                <w:vertAlign w:val="superscript"/>
                <w:lang w:val="ru-RU" w:eastAsia="ru-RU" w:bidi="ar-SA"/>
              </w:rPr>
              <w:t>2</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bCs/>
                <w:kern w:val="0"/>
                <w:lang w:val="ru-RU" w:eastAsia="ru-RU" w:bidi="ar-SA"/>
              </w:rPr>
              <w:t>Утеплитель:</w:t>
            </w:r>
            <w:r>
              <w:rPr>
                <w:rFonts w:cs="Times New Roman"/>
                <w:kern w:val="0"/>
                <w:lang w:val="ru-RU" w:eastAsia="ru-RU" w:bidi="ar-SA"/>
              </w:rPr>
              <w:t xml:space="preserve"> </w:t>
            </w:r>
            <w:r>
              <w:rPr>
                <w:rFonts w:cs="Times New Roman"/>
                <w:iCs/>
                <w:kern w:val="0"/>
                <w:lang w:val="ru-RU" w:eastAsia="ru-RU" w:bidi="ar-SA"/>
              </w:rPr>
              <w:t>синтетический с содержанием микроволокна не менее 70%, состав сырья 100% ПЭ, поверхностная плотность 100-150 г/ м2 в зависимости от климатического пояса</w:t>
            </w:r>
            <w:r>
              <w:rPr>
                <w:rFonts w:cs="Times New Roman"/>
                <w:kern w:val="0"/>
                <w:lang w:val="ru-RU" w:eastAsia="ru-RU" w:bidi="ar-SA"/>
              </w:rPr>
              <w:t>.</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 xml:space="preserve"> </w:t>
            </w:r>
            <w:r>
              <w:rPr>
                <w:rFonts w:cs="Times New Roman"/>
                <w:b/>
                <w:kern w:val="0"/>
                <w:lang w:val="ru-RU" w:eastAsia="ru-RU" w:bidi="ar-SA"/>
              </w:rPr>
              <w:t>Спанбонд:</w:t>
            </w:r>
            <w:r>
              <w:rPr>
                <w:rFonts w:cs="Times New Roman"/>
                <w:kern w:val="0"/>
                <w:lang w:val="ru-RU" w:eastAsia="ru-RU" w:bidi="ar-SA"/>
              </w:rPr>
              <w:t xml:space="preserve"> нетканый материал для предотвращения миграции утеплителя, состав сырья 100%ПЭ.</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Подкладка:</w:t>
            </w:r>
            <w:r>
              <w:rPr>
                <w:rFonts w:cs="Times New Roman"/>
                <w:kern w:val="0"/>
                <w:lang w:val="ru-RU" w:eastAsia="ru-RU" w:bidi="ar-SA"/>
              </w:rPr>
              <w:t xml:space="preserve"> состав сырья 100% ПЭ, плотность 60 г/м</w:t>
            </w:r>
            <w:r>
              <w:rPr>
                <w:rFonts w:cs="Times New Roman"/>
                <w:kern w:val="0"/>
                <w:vertAlign w:val="superscript"/>
                <w:lang w:val="ru-RU" w:eastAsia="ru-RU" w:bidi="ar-SA"/>
              </w:rPr>
              <w:t>2</w:t>
            </w:r>
            <w:r>
              <w:rPr>
                <w:rFonts w:cs="Times New Roman"/>
                <w:kern w:val="0"/>
                <w:lang w:val="ru-RU" w:eastAsia="ru-RU" w:bidi="ar-SA"/>
              </w:rPr>
              <w:t>, цвет темно-синий.</w:t>
            </w:r>
          </w:p>
          <w:p>
            <w:pPr>
              <w:pStyle w:val="ListParagraph"/>
              <w:widowControl w:val="false"/>
              <w:numPr>
                <w:ilvl w:val="3"/>
                <w:numId w:val="9"/>
              </w:numPr>
              <w:tabs>
                <w:tab w:val="clear" w:pos="720"/>
                <w:tab w:val="left" w:pos="748" w:leader="none"/>
                <w:tab w:val="left" w:pos="882" w:leader="none"/>
                <w:tab w:val="left" w:pos="1307"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b/>
                <w:kern w:val="0"/>
                <w:lang w:val="ru-RU" w:eastAsia="ru-RU" w:bidi="ar-SA"/>
              </w:rPr>
              <w:t>Сигнальные элементы</w:t>
            </w:r>
            <w:r>
              <w:rPr>
                <w:rFonts w:cs="Times New Roman"/>
                <w:kern w:val="0"/>
                <w:lang w:val="ru-RU" w:eastAsia="ru-RU" w:bidi="ar-SA"/>
              </w:rPr>
              <w:t>: полосы из световозвращающего материала шириной 25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0"/>
              <w:contextualSpacing/>
              <w:jc w:val="both"/>
              <w:rPr>
                <w:b/>
              </w:rPr>
            </w:pPr>
            <w:r>
              <w:rPr>
                <w:rFonts w:cs="Times New Roman"/>
                <w:b/>
                <w:kern w:val="0"/>
                <w:lang w:val="ru-RU" w:eastAsia="ru-RU" w:bidi="ar-SA"/>
              </w:rPr>
              <w:t>Пакет утеплителя в соответствии с климатическими поясами.</w:t>
            </w:r>
          </w:p>
          <w:tbl>
            <w:tblPr>
              <w:tblW w:w="5812" w:type="dxa"/>
              <w:jc w:val="left"/>
              <w:tblInd w:w="0" w:type="dxa"/>
              <w:tblLayout w:type="fixed"/>
              <w:tblCellMar>
                <w:top w:w="0" w:type="dxa"/>
                <w:left w:w="108" w:type="dxa"/>
                <w:bottom w:w="0" w:type="dxa"/>
                <w:right w:w="108" w:type="dxa"/>
              </w:tblCellMar>
              <w:tblLook w:noVBand="1" w:val="04a0" w:noHBand="0" w:lastColumn="0" w:firstColumn="1" w:lastRow="0" w:firstRow="1"/>
            </w:tblPr>
            <w:tblGrid>
              <w:gridCol w:w="2012"/>
              <w:gridCol w:w="3799"/>
            </w:tblGrid>
            <w:tr>
              <w:trPr>
                <w:trHeight w:val="222" w:hRule="atLeast"/>
              </w:trPr>
              <w:tc>
                <w:tcPr>
                  <w:tcW w:w="2012"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center"/>
                    <w:rPr>
                      <w:sz w:val="24"/>
                      <w:szCs w:val="24"/>
                    </w:rPr>
                  </w:pPr>
                  <w:r>
                    <w:rPr>
                      <w:sz w:val="24"/>
                      <w:szCs w:val="24"/>
                    </w:rPr>
                    <w:t>Климатический пояс</w:t>
                  </w:r>
                </w:p>
              </w:tc>
              <w:tc>
                <w:tcPr>
                  <w:tcW w:w="37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center"/>
                    <w:rPr>
                      <w:sz w:val="24"/>
                      <w:szCs w:val="24"/>
                    </w:rPr>
                  </w:pPr>
                  <w:r>
                    <w:rPr>
                      <w:sz w:val="24"/>
                      <w:szCs w:val="24"/>
                    </w:rPr>
                    <w:t>Пакет утеплителя</w:t>
                  </w:r>
                </w:p>
              </w:tc>
            </w:tr>
            <w:tr>
              <w:trPr>
                <w:trHeight w:val="437" w:hRule="atLeast"/>
              </w:trPr>
              <w:tc>
                <w:tcPr>
                  <w:tcW w:w="2012"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both"/>
                    <w:rPr>
                      <w:sz w:val="24"/>
                      <w:szCs w:val="24"/>
                    </w:rPr>
                  </w:pPr>
                  <w:r>
                    <w:rPr>
                      <w:sz w:val="24"/>
                      <w:szCs w:val="24"/>
                      <w:lang w:val="en-US"/>
                    </w:rPr>
                    <w:t>II</w:t>
                  </w:r>
                  <w:r>
                    <w:rPr>
                      <w:sz w:val="24"/>
                      <w:szCs w:val="24"/>
                    </w:rPr>
                    <w:t xml:space="preserve">, </w:t>
                  </w:r>
                  <w:r>
                    <w:rPr>
                      <w:sz w:val="24"/>
                      <w:szCs w:val="24"/>
                      <w:lang w:val="en-US"/>
                    </w:rPr>
                    <w:t>III</w:t>
                  </w:r>
                </w:p>
                <w:p>
                  <w:pPr>
                    <w:pStyle w:val="Normal"/>
                    <w:widowControl w:val="false"/>
                    <w:tabs>
                      <w:tab w:val="clear" w:pos="720"/>
                      <w:tab w:val="left" w:pos="748" w:leader="none"/>
                    </w:tabs>
                    <w:jc w:val="both"/>
                    <w:rPr>
                      <w:sz w:val="24"/>
                      <w:szCs w:val="24"/>
                    </w:rPr>
                  </w:pPr>
                  <w:r>
                    <w:rPr>
                      <w:sz w:val="24"/>
                      <w:szCs w:val="24"/>
                    </w:rPr>
                    <w:t>климатический пояс</w:t>
                  </w:r>
                </w:p>
              </w:tc>
              <w:tc>
                <w:tcPr>
                  <w:tcW w:w="3799"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748" w:leader="none"/>
                    </w:tabs>
                    <w:jc w:val="both"/>
                    <w:rPr>
                      <w:sz w:val="24"/>
                      <w:szCs w:val="24"/>
                    </w:rPr>
                  </w:pPr>
                  <w:r>
                    <w:rPr>
                      <w:sz w:val="24"/>
                      <w:szCs w:val="24"/>
                    </w:rPr>
                    <w:t>Куртка: утеплитель 3 слоя плотность не менее 100 г/м2 + ветрозащита</w:t>
                  </w:r>
                </w:p>
                <w:p>
                  <w:pPr>
                    <w:pStyle w:val="Normal"/>
                    <w:widowControl w:val="false"/>
                    <w:tabs>
                      <w:tab w:val="clear" w:pos="720"/>
                      <w:tab w:val="left" w:pos="748" w:leader="none"/>
                    </w:tabs>
                    <w:jc w:val="both"/>
                    <w:rPr>
                      <w:sz w:val="24"/>
                      <w:szCs w:val="24"/>
                    </w:rPr>
                  </w:pPr>
                  <w:r>
                    <w:rPr>
                      <w:sz w:val="24"/>
                      <w:szCs w:val="24"/>
                    </w:rPr>
                    <w:t>Брюки: утеплитель 2  слоя плотность не менее 100 г/м2 + ветрозащита</w:t>
                  </w:r>
                </w:p>
              </w:tc>
            </w:tr>
          </w:tbl>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Изготовитель в эксплуатационной документации к СИЗ от воздействия пониженной температуры должен указывать условия эксплуатации во всех указанных климатических поясах.</w:t>
            </w:r>
          </w:p>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сертификат соответствия (предоставляется при поставке СИЗ).</w:t>
            </w:r>
          </w:p>
          <w:p>
            <w:pPr>
              <w:pStyle w:val="ListParagraph"/>
              <w:widowControl w:val="false"/>
              <w:numPr>
                <w:ilvl w:val="2"/>
                <w:numId w:val="9"/>
              </w:numPr>
              <w:tabs>
                <w:tab w:val="clear" w:pos="720"/>
                <w:tab w:val="left" w:pos="748" w:leader="none"/>
                <w:tab w:val="left" w:pos="882"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костюма на утепляющей прокладке для защиты от ОПЗ для ИТР приведен в Приложении №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2.4.26 В составе документации на закупку предоставляется протокол испытаний СИЗ (прочность, защитные свойства).</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 xml:space="preserve">Согласие с требованием </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каске защитной с храповиком (цвет белый для ИТР, цвет оранжевый для рабочих).</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Позиции 5, 6 в Таблице 1.1 настоящих ТТ</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защитная с храповиком. Состоит из ударопрочного корпуса, выполненного из термопластичного материала.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оснащена козырьком, водосточным желобком, внутренней оснасткой, наголовным креплением и подбородочным ремнем. Крепления подбородочного ремня в 4-х точках. Конструкция предполагает применение дополнительных СИЗ: наушников, лицевых щитков, щитков сварщика, подшлемника.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Регулировка по размеру головы (53–65 см).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Каска сохраняет защитные свойства при температуре от -50°С до +50°С.</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bCs/>
                <w:kern w:val="0"/>
                <w:lang w:val="ru-RU" w:eastAsia="ru-RU" w:bidi="ar-SA"/>
              </w:rPr>
              <w:t>Защитные свойства:</w:t>
            </w:r>
            <w:r>
              <w:rPr>
                <w:rFonts w:cs="Times New Roman"/>
                <w:kern w:val="0"/>
                <w:lang w:val="ru-RU" w:eastAsia="ru-RU" w:bidi="ar-SA"/>
              </w:rPr>
              <w:t xml:space="preserve"> предназначена для защиты головы от механических повреждений (устойчива к боковой деформации), воздействия влаги, брызг металла, связанных с риском травмы головы.</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bCs/>
                <w:kern w:val="0"/>
                <w:lang w:val="ru-RU" w:eastAsia="ru-RU" w:bidi="ar-SA"/>
              </w:rPr>
              <w:t xml:space="preserve">Масса каски в сборе: </w:t>
            </w:r>
            <w:r>
              <w:rPr>
                <w:rFonts w:cs="Times New Roman"/>
                <w:bCs/>
                <w:kern w:val="0"/>
                <w:lang w:val="ru-RU" w:eastAsia="ru-RU" w:bidi="ar-SA"/>
              </w:rPr>
              <w:t>не более</w:t>
            </w:r>
            <w:r>
              <w:rPr>
                <w:rFonts w:cs="Times New Roman"/>
                <w:b/>
                <w:bCs/>
                <w:kern w:val="0"/>
                <w:lang w:val="ru-RU" w:eastAsia="ru-RU" w:bidi="ar-SA"/>
              </w:rPr>
              <w:t xml:space="preserve"> </w:t>
            </w:r>
            <w:r>
              <w:rPr>
                <w:rFonts w:cs="Times New Roman"/>
                <w:kern w:val="0"/>
                <w:lang w:val="ru-RU" w:eastAsia="ru-RU" w:bidi="ar-SA"/>
              </w:rPr>
              <w:t>360 г.</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b/>
                <w:kern w:val="0"/>
                <w:lang w:val="ru-RU" w:eastAsia="ru-RU" w:bidi="ar-SA"/>
              </w:rPr>
              <w:t>Цвет</w:t>
            </w:r>
            <w:r>
              <w:rPr>
                <w:rFonts w:cs="Times New Roman"/>
                <w:kern w:val="0"/>
                <w:lang w:val="ru-RU" w:eastAsia="ru-RU" w:bidi="ar-SA"/>
              </w:rPr>
              <w:t xml:space="preserve"> – белый  для ИТР, оранжевый  для рабочих.</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Все каски выполняются в корпоративном стиле Группы РусГидро. Место нанесения фирменной символики – лобная часть каски.</w:t>
            </w:r>
          </w:p>
          <w:p>
            <w:pPr>
              <w:pStyle w:val="ListParagraph"/>
              <w:widowControl w:val="false"/>
              <w:numPr>
                <w:ilvl w:val="2"/>
                <w:numId w:val="9"/>
              </w:numPr>
              <w:tabs>
                <w:tab w:val="clear" w:pos="720"/>
                <w:tab w:val="left" w:pos="740" w:leader="none"/>
                <w:tab w:val="left" w:pos="882" w:leader="none"/>
              </w:tabs>
              <w:suppressAutoHyphens w:val="true"/>
              <w:spacing w:before="0" w:after="0"/>
              <w:ind w:left="31" w:firstLine="11"/>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Обязательная форма подтверждения соответствия </w:t>
            </w:r>
            <w:r>
              <w:rPr>
                <w:rFonts w:cs="Times New Roman"/>
                <w:bCs/>
                <w:kern w:val="0"/>
                <w:lang w:val="ru-RU" w:eastAsia="ru-RU" w:bidi="ar-SA"/>
              </w:rPr>
              <w:t xml:space="preserve">ТР ТС 019/2011 </w:t>
            </w:r>
            <w:r>
              <w:rPr>
                <w:rFonts w:cs="Times New Roman"/>
                <w:kern w:val="0"/>
                <w:lang w:val="ru-RU" w:eastAsia="ru-RU" w:bidi="ar-SA"/>
              </w:rPr>
              <w:t>– сертификат соответствия (предоставляется при поставке СИЗ)</w:t>
            </w:r>
            <w:r>
              <w:rPr>
                <w:rFonts w:cs="Times New Roman"/>
                <w:bCs/>
                <w:kern w:val="0"/>
                <w:lang w:val="ru-RU" w:eastAsia="ru-RU" w:bidi="ar-SA"/>
              </w:rPr>
              <w:t>.</w:t>
            </w:r>
          </w:p>
          <w:p>
            <w:pPr>
              <w:pStyle w:val="ListParagraph"/>
              <w:widowControl w:val="false"/>
              <w:numPr>
                <w:ilvl w:val="2"/>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i w:val="false"/>
                <w:i w:val="false"/>
                <w:iCs w:val="false"/>
              </w:rPr>
            </w:pPr>
            <w:r>
              <w:rPr>
                <w:i w:val="false"/>
                <w:iCs w:val="false"/>
              </w:rPr>
              <w:t>2.3.10 В составе документации на закупку предоставляется протокол испытаний  СИЗ (защитные свойства).</w:t>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  </w:t>
            </w:r>
          </w:p>
        </w:tc>
      </w:tr>
      <w:tr>
        <w:trPr/>
        <w:tc>
          <w:tcPr>
            <w:tcW w:w="889" w:type="dxa"/>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сапогам с защитным подноском утепленным.</w:t>
            </w:r>
          </w:p>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w:t>
            </w:r>
            <w:r>
              <w:rPr>
                <w:rFonts w:eastAsia="Times New Roman" w:cs="Times New Roman"/>
                <w:i/>
                <w:kern w:val="0"/>
                <w:sz w:val="24"/>
                <w:szCs w:val="24"/>
                <w:lang w:val="ru-RU" w:eastAsia="ru-RU" w:bidi="ar-SA"/>
              </w:rPr>
              <w:t>Позиция № 7 в Таблице</w:t>
            </w:r>
            <w:r>
              <w:rPr>
                <w:rFonts w:eastAsia="Times New Roman" w:cs="Times New Roman"/>
                <w:i/>
                <w:kern w:val="0"/>
                <w:lang w:val="ru-RU" w:eastAsia="ru-RU" w:bidi="ar-SA"/>
              </w:rPr>
              <w:t xml:space="preserve"> </w:t>
            </w:r>
            <w:r>
              <w:rPr>
                <w:rFonts w:eastAsia="Times New Roman" w:cs="Times New Roman"/>
                <w:i/>
                <w:kern w:val="0"/>
                <w:sz w:val="24"/>
                <w:szCs w:val="24"/>
                <w:lang w:val="ru-RU" w:eastAsia="ru-RU" w:bidi="ar-SA"/>
              </w:rPr>
              <w:t>1.1 настоящих ТТ)</w:t>
            </w:r>
          </w:p>
        </w:tc>
        <w:tc>
          <w:tcPr>
            <w:tcW w:w="8313" w:type="dxa"/>
            <w:tcBorders/>
            <w:shd w:color="auto" w:fill="auto" w:val="clear"/>
          </w:tcPr>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кожаные утепленные с защитным подноском должны обеспечивать защиту от низких и высоких температур, в диапазоне от -40 до +120°С. В качестве утеплителя используется натуральный мех овчина, высота ворса 12-14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должны иметь: мягкую прокладку под подноском, профиль подошвы должен иметь протектор и специальные вставки препятствующий скольжению, регулируемое голенище.</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Сапоги могут иметь специальную стельку для защиты от проколов.</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Уровень МБС от 0 до 2,5 %.</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Материал верха – термоустойчивая водоотталкивающая кожа (юфть) толщиной 1,8–2,0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Подошва – двухслойная, устойчивая к воздействию нефти, нефтепродуктов, щелочей концентрации до 20%, повышенных температур.</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Верхний слой из полиуретана обладает амортизирующими свойствами, гасит ударные нагрузки, а также придает обуви легкость, комфортность и повышенные теплозащитные свойства.</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Ходовой слой изготовлен из износостойкой, термостойкой (300°С / 60 с), морозостойкой резины на основе нитрильного каучука с улучшенным сопротивлением скольжению, стойкостью к деформациям, истиранию.</w:t>
            </w:r>
          </w:p>
          <w:p>
            <w:pPr>
              <w:pStyle w:val="ListParagraph"/>
              <w:widowControl w:val="false"/>
              <w:numPr>
                <w:ilvl w:val="2"/>
                <w:numId w:val="9"/>
              </w:numPr>
              <w:tabs>
                <w:tab w:val="clear" w:pos="720"/>
                <w:tab w:val="left" w:pos="740" w:leader="none"/>
                <w:tab w:val="left" w:pos="882"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Носочная часть может иметь дополнительную защиту в виде полиуретановой накладки, предотвращающей механические повреждения обуви.</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Профиль подошвы должен быть более 4 мм.</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Подносок из поликарбоната с резиновым / полиуретановым уплотнителем. </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Подносок должен выдерживать ударную нагрузку в 200 Дж.</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Стелька для защиты от проколов должна быть изготовлена из композитных материалов, вставляться в процессе монтажа обуви и не иметь возможности демонтироваться.</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Стелька должна иметь соответствующий размер и защищать стопу от прокола по всей длине.</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b/>
                <w:kern w:val="0"/>
                <w:lang w:val="ru-RU" w:eastAsia="ru-RU" w:bidi="ar-SA"/>
              </w:rPr>
              <w:t>Высота обуви:</w:t>
            </w:r>
            <w:r>
              <w:rPr>
                <w:rFonts w:cs="Times New Roman"/>
                <w:kern w:val="0"/>
                <w:lang w:val="ru-RU" w:eastAsia="ru-RU" w:bidi="ar-SA"/>
              </w:rPr>
              <w:t xml:space="preserve"> 325 ±5 мм.</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Обязательное соответствие ТР ТС 019/2011, ГОСТ Р 12.4.187-97, ГОСТ Р ЕН 20345-2011.</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kern w:val="0"/>
                <w:lang w:val="ru-RU" w:eastAsia="ru-RU" w:bidi="ar-SA"/>
              </w:rPr>
              <w:t>Обязательная форма подтверждения соответствия ТР ТС 019/2011 – сертификат соответствия (предоставляются при поставке СИЗ).</w:t>
            </w:r>
          </w:p>
          <w:p>
            <w:pPr>
              <w:pStyle w:val="ListParagraph"/>
              <w:widowControl w:val="false"/>
              <w:numPr>
                <w:ilvl w:val="2"/>
                <w:numId w:val="9"/>
              </w:numPr>
              <w:tabs>
                <w:tab w:val="clear" w:pos="720"/>
                <w:tab w:val="left" w:pos="457" w:leader="none"/>
                <w:tab w:val="left" w:pos="598" w:leader="none"/>
                <w:tab w:val="left" w:pos="740" w:leader="none"/>
                <w:tab w:val="left" w:pos="1024" w:leader="none"/>
              </w:tabs>
              <w:suppressAutoHyphens w:val="true"/>
              <w:spacing w:before="0" w:after="0"/>
              <w:ind w:left="31" w:hanging="28"/>
              <w:contextualSpacing/>
              <w:jc w:val="both"/>
              <w:rPr>
                <w:rFonts w:ascii="Times New Roman" w:hAnsi="Times New Roman" w:cs="Times New Roman"/>
                <w:kern w:val="0"/>
                <w:lang w:val="ru-RU" w:eastAsia="ru-RU" w:bidi="ar-SA"/>
              </w:rPr>
            </w:pPr>
            <w:r>
              <w:rPr>
                <w:rFonts w:cs="Times New Roman"/>
                <w:i/>
                <w:kern w:val="0"/>
                <w:lang w:val="ru-RU" w:eastAsia="ru-RU" w:bidi="ar-SA"/>
              </w:rPr>
              <w:t>Эскиз образца сапог кожаных утепленных приведен в  Приложении №1  к настоящим ТТ.</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i w:val="false"/>
                <w:i w:val="false"/>
                <w:iCs w:val="false"/>
              </w:rPr>
            </w:pPr>
            <w:r>
              <w:rPr>
                <w:rFonts w:cs="Times New Roman"/>
                <w:i w:val="false"/>
                <w:iCs w:val="false"/>
                <w:kern w:val="0"/>
                <w:lang w:val="ru-RU" w:eastAsia="ru-RU" w:bidi="ar-SA"/>
              </w:rPr>
              <w:t>2.4.19 В составе документации на закупку предоставляется протокол испытаний СИЗ (защитные свойства).</w:t>
            </w:r>
          </w:p>
          <w:p>
            <w:pPr>
              <w:pStyle w:val="ListParagraph"/>
              <w:widowControl w:val="false"/>
              <w:numPr>
                <w:ilvl w:val="0"/>
                <w:numId w:val="0"/>
              </w:numPr>
              <w:tabs>
                <w:tab w:val="clear" w:pos="720"/>
                <w:tab w:val="left" w:pos="457" w:leader="none"/>
                <w:tab w:val="left" w:pos="598" w:leader="none"/>
                <w:tab w:val="left" w:pos="740" w:leader="none"/>
                <w:tab w:val="left" w:pos="1024" w:leader="none"/>
              </w:tabs>
              <w:suppressAutoHyphens w:val="true"/>
              <w:spacing w:before="0" w:after="0"/>
              <w:ind w:left="31" w:hanging="0"/>
              <w:contextualSpacing/>
              <w:jc w:val="both"/>
              <w:rPr>
                <w:rFonts w:ascii="Times New Roman" w:hAnsi="Times New Roman" w:cs="Times New Roman"/>
                <w:kern w:val="0"/>
                <w:lang w:val="ru-RU" w:eastAsia="ru-RU" w:bidi="ar-SA"/>
              </w:rPr>
            </w:pPr>
            <w:r>
              <w:rPr>
                <w:rFonts w:cs="Times New Roman"/>
                <w:kern w:val="0"/>
                <w:lang w:val="ru-RU" w:eastAsia="ru-RU" w:bidi="ar-SA"/>
              </w:rPr>
            </w:r>
          </w:p>
        </w:tc>
        <w:tc>
          <w:tcPr>
            <w:tcW w:w="2012" w:type="dxa"/>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 xml:space="preserve">Согласие с требованием </w:t>
            </w:r>
          </w:p>
        </w:tc>
        <w:tc>
          <w:tcPr>
            <w:tcW w:w="2331" w:type="dxa"/>
            <w:tcBorders/>
            <w:shd w:color="auto" w:fill="auto" w:val="clear"/>
          </w:tcPr>
          <w:p>
            <w:pPr>
              <w:pStyle w:val="Normal"/>
              <w:widowControl w:val="false"/>
              <w:suppressAutoHyphens w:val="true"/>
              <w:spacing w:before="0" w:after="0"/>
              <w:jc w:val="center"/>
              <w:rPr>
                <w:sz w:val="24"/>
                <w:szCs w:val="24"/>
              </w:rPr>
            </w:pPr>
            <w:r>
              <w:rPr>
                <w:rFonts w:eastAsia="Times New Roman" w:cs="Times New Roman"/>
                <w:kern w:val="0"/>
                <w:sz w:val="24"/>
                <w:szCs w:val="24"/>
                <w:lang w:val="ru-RU" w:eastAsia="ru-RU" w:bidi="ar-SA"/>
              </w:rPr>
              <w:t xml:space="preserve">–  </w:t>
            </w:r>
          </w:p>
        </w:tc>
      </w:tr>
      <w:tr>
        <w:trPr/>
        <w:tc>
          <w:tcPr>
            <w:tcW w:w="889" w:type="dxa"/>
            <w:tcBorders>
              <w:top w:val="nil"/>
            </w:tcBorders>
          </w:tcPr>
          <w:p>
            <w:pPr>
              <w:pStyle w:val="ListParagraph"/>
              <w:widowControl w:val="false"/>
              <w:numPr>
                <w:ilvl w:val="1"/>
                <w:numId w:val="9"/>
              </w:numPr>
              <w:suppressAutoHyphens w:val="true"/>
              <w:spacing w:before="60" w:after="60"/>
              <w:ind w:left="-117" w:firstLine="142"/>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Требования к ботинкам утепленным с защитным подноском утепленным.</w:t>
            </w:r>
          </w:p>
          <w:p>
            <w:pPr>
              <w:pStyle w:val="Normal"/>
              <w:widowControl w:val="false"/>
              <w:suppressAutoHyphens w:val="true"/>
              <w:spacing w:before="0" w:after="0"/>
              <w:jc w:val="left"/>
              <w:rPr>
                <w:sz w:val="24"/>
                <w:szCs w:val="28"/>
              </w:rPr>
            </w:pPr>
            <w:r>
              <w:rPr>
                <w:rFonts w:eastAsia="Times New Roman" w:cs="Times New Roman"/>
                <w:kern w:val="0"/>
                <w:sz w:val="24"/>
                <w:szCs w:val="28"/>
                <w:lang w:val="ru-RU" w:eastAsia="ru-RU" w:bidi="ar-SA"/>
              </w:rPr>
              <w:t>(</w:t>
            </w:r>
            <w:r>
              <w:rPr>
                <w:rFonts w:eastAsia="Times New Roman" w:cs="Times New Roman"/>
                <w:i/>
                <w:kern w:val="0"/>
                <w:sz w:val="24"/>
                <w:szCs w:val="28"/>
                <w:lang w:val="ru-RU" w:eastAsia="ru-RU" w:bidi="ar-SA"/>
              </w:rPr>
              <w:t>Позиция № 8 в Таблице 1.1 настоящих ТТ)</w:t>
            </w:r>
          </w:p>
        </w:tc>
        <w:tc>
          <w:tcPr>
            <w:tcW w:w="8313" w:type="dxa"/>
            <w:tcBorders>
              <w:top w:val="nil"/>
            </w:tcBorders>
            <w:shd w:color="auto" w:fill="auto" w:val="clear"/>
          </w:tcPr>
          <w:p>
            <w:pPr>
              <w:pStyle w:val="ListParagraph"/>
              <w:widowControl w:val="false"/>
              <w:numPr>
                <w:ilvl w:val="0"/>
                <w:numId w:val="0"/>
              </w:numPr>
              <w:tabs>
                <w:tab w:val="clear" w:pos="720"/>
                <w:tab w:val="left" w:pos="740"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защиты от ОПЗ, ударов, падений предметов.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Подносок должен выдерживать ударную нагрузку не менее 200 Дж.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 качестве материалов для верха обуви используется натуральная кожа – юфть термоустойчивая, толщиной 1,8-2,0 мм.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Подкладка и вкладная стелька из натурального меха, для III климатического пояса.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Материал подошвы: ПУ/нитрильная резина. Высота обуви: 140 ±5 мм</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Ботинки изготовлены литьевым методом крепления подошвы.</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Полуглухой клапан-язык из натуральной кожи дополнительно закрыт накладкой (наружным языком) из юфти термоустойчивой с фиксированием через подъемные ремни с застежкой на пряжки-клипсы.</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В пяточной части карман из спилка подкладочного с прокладкой из нетканого материала.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Для защиты в носочной части стопы применяются внутренние защитные носки из композитного материала ударной прочностью 200 Дж (Мун 200), имеющие конфигурацию, препятствующую надавливанию верхнего края на стопу и оборудованные прокладкой из полиуретана.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Подошва двухслойная (устойчивая к воздействию химических факторов – нефти, масел, нефтепродуктов). Верхний слой из полиуретана об</w:t>
              <w:softHyphen/>
              <w:t>ладает амортизирующими свойствами, гасит ударные нагрузки. Носочная часть может имеет дополнительную защиту в виде прилитой полиуретановой накладки. Нижний слой изготовлен из из</w:t>
              <w:softHyphen/>
              <w:t xml:space="preserve">носостойкой, морозостойкой, термостойкой (-45°С…+300°С, при кратковременном (60 сек.) контакте с нагретой поверхностью) нитрильной резины с улучшенным сопротивлением скольжению, стойкостью к деформациям, истиранию.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 xml:space="preserve">Глубина профиля (протектора) ходового слоя подошвы 5,0 мм и элементы подошвы обеспечивают хорошую сцепляемость с поверхностями, а расположенный под углом рисунок протектора обеспечивает самоочищение подошвы от загрязнений.  </w:t>
            </w:r>
          </w:p>
          <w:p>
            <w:pPr>
              <w:pStyle w:val="ListParagraph"/>
              <w:widowControl w:val="false"/>
              <w:numPr>
                <w:ilvl w:val="2"/>
                <w:numId w:val="9"/>
              </w:numPr>
              <w:tabs>
                <w:tab w:val="clear" w:pos="720"/>
                <w:tab w:val="left" w:pos="740" w:leader="none"/>
                <w:tab w:val="left" w:pos="882" w:leader="none"/>
              </w:tabs>
              <w:suppressAutoHyphens w:val="true"/>
              <w:spacing w:before="0" w:after="0"/>
              <w:ind w:left="1071" w:hanging="0"/>
              <w:contextualSpacing/>
              <w:jc w:val="both"/>
              <w:rPr>
                <w:rFonts w:ascii="Times New Roman" w:hAnsi="Times New Roman" w:cs="Times New Roman"/>
                <w:kern w:val="0"/>
                <w:lang w:val="ru-RU" w:eastAsia="ru-RU" w:bidi="ar-SA"/>
              </w:rPr>
            </w:pPr>
            <w:r>
              <w:rPr>
                <w:rFonts w:cs="Times New Roman"/>
                <w:kern w:val="0"/>
                <w:lang w:val="ru-RU" w:eastAsia="ru-RU" w:bidi="ar-SA"/>
              </w:rPr>
              <w:t>Требования, эскиз приведены в приложении № 1</w:t>
            </w:r>
          </w:p>
          <w:p>
            <w:pPr>
              <w:pStyle w:val="ListParagraph"/>
              <w:widowControl w:val="false"/>
              <w:numPr>
                <w:ilvl w:val="0"/>
                <w:numId w:val="0"/>
              </w:numPr>
              <w:tabs>
                <w:tab w:val="clear" w:pos="720"/>
                <w:tab w:val="left" w:pos="740" w:leader="none"/>
                <w:tab w:val="left" w:pos="882" w:leader="none"/>
              </w:tabs>
              <w:suppressAutoHyphens w:val="true"/>
              <w:spacing w:before="0" w:after="0"/>
              <w:ind w:left="0" w:hanging="0"/>
              <w:contextualSpacing/>
              <w:jc w:val="both"/>
              <w:rPr>
                <w:rFonts w:ascii="Times New Roman" w:hAnsi="Times New Roman" w:cs="Times New Roman"/>
                <w:kern w:val="0"/>
                <w:lang w:val="ru-RU" w:eastAsia="ru-RU" w:bidi="ar-SA"/>
              </w:rPr>
            </w:pPr>
            <w:r>
              <w:rPr>
                <w:rFonts w:cs="Times New Roman"/>
                <w:kern w:val="0"/>
                <w:lang w:val="ru-RU" w:eastAsia="ru-RU" w:bidi="ar-SA"/>
              </w:rPr>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b/>
                <w:bCs/>
                <w:kern w:val="0"/>
                <w:lang w:val="ru-RU" w:eastAsia="ru-RU" w:bidi="ar-SA"/>
              </w:rPr>
            </w:pPr>
            <w:r>
              <w:rPr>
                <w:rFonts w:cs="Times New Roman"/>
                <w:b/>
                <w:bCs/>
                <w:kern w:val="0"/>
                <w:lang w:val="ru-RU" w:eastAsia="ru-RU" w:bidi="ar-SA"/>
              </w:rPr>
              <w:t>3.</w:t>
            </w:r>
          </w:p>
        </w:tc>
        <w:tc>
          <w:tcPr>
            <w:tcW w:w="10293" w:type="dxa"/>
            <w:gridSpan w:val="2"/>
            <w:tcBorders>
              <w:top w:val="nil"/>
            </w:tcBorders>
            <w:shd w:color="auto" w:fill="auto" w:val="clear"/>
          </w:tcPr>
          <w:p>
            <w:pPr>
              <w:pStyle w:val="Normal"/>
              <w:widowControl w:val="false"/>
              <w:suppressAutoHyphens w:val="true"/>
              <w:spacing w:before="0" w:after="0"/>
              <w:jc w:val="left"/>
              <w:rPr>
                <w:b/>
                <w:bCs/>
                <w:sz w:val="24"/>
                <w:szCs w:val="24"/>
              </w:rPr>
            </w:pPr>
            <w:r>
              <w:rPr>
                <w:rFonts w:eastAsia="Times New Roman"/>
                <w:b/>
                <w:bCs/>
                <w:sz w:val="24"/>
                <w:szCs w:val="24"/>
              </w:rPr>
              <w:t>Требования к доставке, упаковке, транспортировке, перемещению, условиям хранения, приемке</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Место поставки</w:t>
            </w:r>
          </w:p>
        </w:tc>
        <w:tc>
          <w:tcPr>
            <w:tcW w:w="8313" w:type="dxa"/>
            <w:tcBorders>
              <w:top w:val="nil"/>
            </w:tcBorders>
            <w:shd w:color="auto" w:fill="auto" w:val="clear"/>
          </w:tcPr>
          <w:p>
            <w:pPr>
              <w:pStyle w:val="Normal"/>
              <w:widowControl w:val="false"/>
              <w:suppressAutoHyphens w:val="true"/>
              <w:spacing w:before="0" w:after="0"/>
              <w:jc w:val="left"/>
              <w:rPr>
                <w:sz w:val="24"/>
                <w:szCs w:val="24"/>
              </w:rPr>
            </w:pPr>
            <w:r>
              <w:rPr>
                <w:rFonts w:eastAsia="Times New Roman" w:cs="Times New Roman"/>
                <w:kern w:val="0"/>
                <w:sz w:val="24"/>
                <w:szCs w:val="24"/>
                <w:lang w:val="ru-RU" w:eastAsia="ru-RU" w:bidi="ar-SA"/>
              </w:rPr>
              <w:t>614030, г. Пермь, ул. Соликамская д. 329, Камская ГЭС. Дата и время доставки должны быть согласованы с Заказчиком</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t>Согласие с требованием</w:t>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b/>
                <w:bCs/>
                <w:kern w:val="0"/>
                <w:lang w:val="ru-RU" w:eastAsia="ru-RU" w:bidi="ar-SA"/>
              </w:rPr>
            </w:pPr>
            <w:r>
              <w:rPr>
                <w:rFonts w:cs="Times New Roman"/>
                <w:b/>
                <w:bCs/>
                <w:kern w:val="0"/>
                <w:lang w:val="ru-RU" w:eastAsia="ru-RU" w:bidi="ar-SA"/>
              </w:rPr>
              <w:t>4.</w:t>
            </w:r>
          </w:p>
        </w:tc>
        <w:tc>
          <w:tcPr>
            <w:tcW w:w="10293" w:type="dxa"/>
            <w:gridSpan w:val="2"/>
            <w:tcBorders>
              <w:top w:val="nil"/>
            </w:tcBorders>
            <w:shd w:color="auto" w:fill="auto" w:val="clear"/>
          </w:tcPr>
          <w:p>
            <w:pPr>
              <w:pStyle w:val="Normal"/>
              <w:widowControl w:val="false"/>
              <w:suppressAutoHyphens w:val="true"/>
              <w:spacing w:before="60" w:after="60"/>
              <w:jc w:val="left"/>
              <w:rPr>
                <w:b/>
                <w:sz w:val="24"/>
                <w:szCs w:val="24"/>
              </w:rPr>
            </w:pPr>
            <w:r>
              <w:rPr>
                <w:rFonts w:eastAsia="Times New Roman" w:cs="Times New Roman"/>
                <w:b/>
                <w:kern w:val="0"/>
                <w:sz w:val="24"/>
                <w:szCs w:val="24"/>
                <w:lang w:val="ru-RU" w:eastAsia="ru-RU" w:bidi="ar-SA"/>
              </w:rPr>
              <w:t>Требования к комплектации и документам, поставляемым вместе с продукцией</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i/>
                <w:sz w:val="24"/>
                <w:szCs w:val="24"/>
              </w:rPr>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r>
        <w:trPr/>
        <w:tc>
          <w:tcPr>
            <w:tcW w:w="889" w:type="dxa"/>
            <w:tcBorders>
              <w:top w:val="nil"/>
            </w:tcBorders>
          </w:tcPr>
          <w:p>
            <w:pPr>
              <w:pStyle w:val="ListParagraph"/>
              <w:widowControl w:val="false"/>
              <w:numPr>
                <w:ilvl w:val="0"/>
                <w:numId w:val="0"/>
              </w:numPr>
              <w:suppressAutoHyphens w:val="true"/>
              <w:spacing w:before="60" w:after="60"/>
              <w:ind w:left="-117" w:hanging="0"/>
              <w:contextualSpacing/>
              <w:jc w:val="center"/>
              <w:rPr>
                <w:rFonts w:ascii="Times New Roman" w:hAnsi="Times New Roman" w:cs="Times New Roman"/>
                <w:kern w:val="0"/>
                <w:lang w:val="ru-RU" w:eastAsia="ru-RU" w:bidi="ar-SA"/>
              </w:rPr>
            </w:pPr>
            <w:r>
              <w:rPr>
                <w:rFonts w:cs="Times New Roman"/>
                <w:kern w:val="0"/>
                <w:lang w:val="ru-RU" w:eastAsia="ru-RU" w:bidi="ar-SA"/>
              </w:rPr>
            </w:r>
          </w:p>
        </w:tc>
        <w:tc>
          <w:tcPr>
            <w:tcW w:w="1980" w:type="dxa"/>
            <w:tcBorders>
              <w:top w:val="nil"/>
            </w:tcBorders>
            <w:shd w:color="auto" w:fill="auto" w:val="clear"/>
          </w:tcPr>
          <w:p>
            <w:pPr>
              <w:pStyle w:val="Normal"/>
              <w:widowControl w:val="false"/>
              <w:suppressAutoHyphens w:val="true"/>
              <w:spacing w:before="0" w:after="0"/>
              <w:jc w:val="left"/>
              <w:rPr>
                <w:sz w:val="24"/>
                <w:szCs w:val="28"/>
              </w:rPr>
            </w:pPr>
            <w:r>
              <w:rPr>
                <w:rFonts w:eastAsia="Calibri" w:cs="Times New Roman"/>
                <w:iCs/>
                <w:kern w:val="0"/>
                <w:sz w:val="24"/>
                <w:szCs w:val="28"/>
                <w:lang w:val="ru-RU" w:eastAsia="en-US" w:bidi="ar-SA"/>
              </w:rPr>
              <w:t>Документы, передаваемые вместе с продукцией</w:t>
            </w:r>
          </w:p>
        </w:tc>
        <w:tc>
          <w:tcPr>
            <w:tcW w:w="8313" w:type="dxa"/>
            <w:tcBorders>
              <w:top w:val="nil"/>
            </w:tcBorders>
            <w:shd w:color="auto" w:fill="auto" w:val="clear"/>
          </w:tcPr>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Поставщик обязан одновременно с передачей продукции предоставить:</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-Товарную накладную унифицированной формы ТОРГ-12 (или УПД) в 2 экз.;</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 Сертификаты соответствия (на обувь, на спецодежду утепленную, на каски), декларация (на спецодежду от ОПЗ не утепленную);</w:t>
            </w:r>
          </w:p>
          <w:p>
            <w:pPr>
              <w:pStyle w:val="Normal"/>
              <w:widowControl w:val="false"/>
              <w:suppressAutoHyphens w:val="true"/>
              <w:spacing w:before="0" w:after="0"/>
              <w:jc w:val="both"/>
              <w:rPr>
                <w:sz w:val="24"/>
                <w:szCs w:val="24"/>
              </w:rPr>
            </w:pPr>
            <w:r>
              <w:rPr>
                <w:rFonts w:eastAsia="Times New Roman" w:cs="Times New Roman"/>
                <w:kern w:val="0"/>
                <w:sz w:val="24"/>
                <w:szCs w:val="24"/>
                <w:lang w:val="ru-RU" w:eastAsia="ru-RU" w:bidi="ar-SA"/>
              </w:rPr>
              <w:t>- Руководство (инструкция) по эксплуатации, уходу и ремонту СИЗ.</w:t>
            </w:r>
          </w:p>
        </w:tc>
        <w:tc>
          <w:tcPr>
            <w:tcW w:w="2012" w:type="dxa"/>
            <w:tcBorders>
              <w:top w:val="nil"/>
            </w:tcBorders>
            <w:shd w:color="auto" w:fill="auto" w:val="clear"/>
          </w:tcPr>
          <w:p>
            <w:pPr>
              <w:pStyle w:val="Normal"/>
              <w:widowControl w:val="false"/>
              <w:suppressAutoHyphens w:val="true"/>
              <w:spacing w:before="0" w:after="0"/>
              <w:jc w:val="center"/>
              <w:rPr>
                <w:i/>
                <w:i/>
                <w:sz w:val="24"/>
                <w:szCs w:val="24"/>
              </w:rPr>
            </w:pPr>
            <w:r>
              <w:rPr>
                <w:rFonts w:eastAsia="Times New Roman" w:cs="Times New Roman"/>
                <w:i/>
                <w:kern w:val="0"/>
                <w:sz w:val="24"/>
                <w:szCs w:val="24"/>
                <w:lang w:val="ru-RU" w:eastAsia="ru-RU" w:bidi="ar-SA"/>
              </w:rPr>
              <w:t>Согласие с требованием</w:t>
            </w:r>
          </w:p>
        </w:tc>
        <w:tc>
          <w:tcPr>
            <w:tcW w:w="2331" w:type="dxa"/>
            <w:tcBorders>
              <w:top w:val="nil"/>
            </w:tcBorders>
            <w:shd w:color="auto" w:fill="auto" w:val="clear"/>
          </w:tcPr>
          <w:p>
            <w:pPr>
              <w:pStyle w:val="Normal"/>
              <w:widowControl w:val="false"/>
              <w:suppressAutoHyphens w:val="true"/>
              <w:spacing w:before="0" w:after="0"/>
              <w:jc w:val="center"/>
              <w:rPr>
                <w:sz w:val="24"/>
                <w:szCs w:val="24"/>
              </w:rPr>
            </w:pPr>
            <w:r>
              <w:rPr>
                <w:sz w:val="24"/>
                <w:szCs w:val="24"/>
              </w:rPr>
            </w:r>
          </w:p>
        </w:tc>
      </w:tr>
    </w:tbl>
    <w:p>
      <w:pPr>
        <w:pStyle w:val="Normal"/>
        <w:shd w:val="clear" w:color="auto" w:fill="FFFFFF" w:themeFill="background1"/>
        <w:spacing w:before="0" w:after="120"/>
        <w:ind w:right="397" w:hanging="0"/>
        <w:jc w:val="both"/>
        <w:rPr>
          <w:b/>
          <w:bCs/>
          <w:iCs/>
          <w:sz w:val="24"/>
          <w:szCs w:val="24"/>
          <w:lang w:eastAsia="zh-CN"/>
        </w:rPr>
      </w:pPr>
      <w:r>
        <w:rPr>
          <w:b/>
          <w:bCs/>
          <w:iCs/>
          <w:sz w:val="24"/>
          <w:szCs w:val="24"/>
          <w:lang w:eastAsia="zh-CN"/>
        </w:rPr>
      </w:r>
    </w:p>
    <w:p>
      <w:pPr>
        <w:pStyle w:val="Heading3"/>
        <w:numPr>
          <w:ilvl w:val="2"/>
          <w:numId w:val="16"/>
        </w:numPr>
        <w:jc w:val="left"/>
        <w:rPr/>
      </w:pPr>
      <w:bookmarkStart w:id="41" w:name="_Toc215660633"/>
      <w:bookmarkStart w:id="42" w:name="_Hlk140571699"/>
      <w:bookmarkStart w:id="43" w:name="_Toc191389017"/>
      <w:bookmarkStart w:id="44" w:name="_Toc217307302"/>
      <w:bookmarkStart w:id="45" w:name="_Hlk140572020"/>
      <w:r>
        <w:rPr/>
        <w:t>В составе заявки необходимо предоставить</w:t>
      </w:r>
      <w:bookmarkEnd w:id="45"/>
      <w:r>
        <w:rPr/>
        <w:t>:</w:t>
      </w:r>
      <w:bookmarkEnd w:id="41"/>
      <w:bookmarkEnd w:id="42"/>
      <w:bookmarkEnd w:id="43"/>
      <w:bookmarkEnd w:id="44"/>
    </w:p>
    <w:p>
      <w:pPr>
        <w:pStyle w:val="Heading3"/>
        <w:numPr>
          <w:ilvl w:val="0"/>
          <w:numId w:val="0"/>
        </w:numPr>
        <w:ind w:left="0" w:hanging="0"/>
        <w:jc w:val="left"/>
        <w:rPr/>
      </w:pPr>
      <w:r>
        <w:rPr>
          <w:b w:val="false"/>
          <w:bCs w:val="false"/>
          <w:lang w:val="ru-RU"/>
        </w:rPr>
        <w:t>Участник в составе своей заявки для подтверждения соответстви</w:t>
      </w:r>
      <w:r>
        <w:rPr>
          <w:b w:val="false"/>
          <w:bCs w:val="false"/>
        </w:rPr>
        <w:t xml:space="preserve">я заявленных характеристик и конструктива предлагаемой продукции требованиям настоящих ТТ, предоставляет следующие документы: </w:t>
      </w:r>
    </w:p>
    <w:p>
      <w:pPr>
        <w:pStyle w:val="ListParagraph"/>
        <w:numPr>
          <w:ilvl w:val="0"/>
          <w:numId w:val="0"/>
        </w:numPr>
        <w:suppressAutoHyphens w:val="false"/>
        <w:spacing w:before="0" w:after="60"/>
        <w:ind w:left="-11" w:hanging="0"/>
        <w:contextualSpacing w:val="false"/>
        <w:jc w:val="both"/>
        <w:rPr/>
      </w:pPr>
      <w:r>
        <w:rPr>
          <w:b w:val="false"/>
          <w:bCs w:val="false"/>
          <w:iCs/>
        </w:rPr>
        <w:t>1.Техническое предложение, подготовленное в соответствии с настоящими ТТ по форме, представленной в Документации о закупке</w:t>
      </w:r>
      <w:r>
        <w:rPr>
          <w:iCs/>
        </w:rPr>
        <w:t>;</w:t>
      </w:r>
    </w:p>
    <w:p>
      <w:pPr>
        <w:pStyle w:val="ListParagraph"/>
        <w:numPr>
          <w:ilvl w:val="0"/>
          <w:numId w:val="0"/>
        </w:numPr>
        <w:suppressAutoHyphens w:val="false"/>
        <w:spacing w:before="0" w:after="60"/>
        <w:ind w:left="-11" w:hanging="0"/>
        <w:contextualSpacing w:val="false"/>
        <w:jc w:val="both"/>
        <w:rPr/>
      </w:pPr>
      <w:r>
        <w:rPr>
          <w:rFonts w:eastAsia="Times New Roman" w:cs="Times New Roman"/>
          <w:iCs/>
          <w:kern w:val="0"/>
          <w:lang w:val="ru-RU" w:eastAsia="ru-RU" w:bidi="ar-SA"/>
        </w:rPr>
        <w:t>2. П</w:t>
      </w:r>
      <w:r>
        <w:rPr>
          <w:rFonts w:eastAsia="Calibri" w:cs="Times New Roman"/>
          <w:iCs/>
          <w:kern w:val="0"/>
          <w:lang w:val="ru-RU" w:eastAsia="en-US" w:bidi="ar-SA"/>
        </w:rPr>
        <w:t>ротоколы испытаний, подтверждающие защитные и эксплуатационные свойства</w:t>
      </w:r>
    </w:p>
    <w:p>
      <w:pPr>
        <w:pStyle w:val="Normal"/>
        <w:spacing w:before="0" w:after="120"/>
        <w:ind w:left="1224" w:right="397" w:hanging="504"/>
        <w:jc w:val="both"/>
        <w:rPr>
          <w:b/>
          <w:color w:val="000000"/>
          <w:sz w:val="24"/>
          <w:szCs w:val="24"/>
        </w:rPr>
      </w:pPr>
      <w:r>
        <w:rPr>
          <w:b/>
          <w:color w:val="000000"/>
          <w:sz w:val="24"/>
          <w:szCs w:val="24"/>
        </w:rPr>
      </w:r>
    </w:p>
    <w:p>
      <w:pPr>
        <w:pStyle w:val="Heading1"/>
        <w:keepLines/>
        <w:numPr>
          <w:ilvl w:val="0"/>
          <w:numId w:val="0"/>
        </w:numPr>
        <w:ind w:left="0" w:hanging="0"/>
        <w:jc w:val="center"/>
        <w:rPr>
          <w:rFonts w:ascii="Times New Roman" w:hAnsi="Times New Roman" w:eastAsia="Calibri" w:cs="Times New Roman"/>
          <w:iCs/>
          <w:kern w:val="0"/>
          <w:lang w:val="ru-RU" w:eastAsia="en-US" w:bidi="ar-SA"/>
        </w:rPr>
      </w:pPr>
      <w:r>
        <w:rPr>
          <w:rFonts w:eastAsia="Calibri" w:cs="Times New Roman"/>
          <w:iCs/>
          <w:kern w:val="0"/>
          <w:lang w:val="ru-RU" w:eastAsia="en-US" w:bidi="ar-SA"/>
        </w:rPr>
      </w:r>
    </w:p>
    <w:p>
      <w:pPr>
        <w:pStyle w:val="Normal"/>
        <w:spacing w:before="0" w:after="120"/>
        <w:ind w:left="1224" w:right="397" w:hanging="504"/>
        <w:jc w:val="both"/>
        <w:rPr>
          <w:b/>
          <w:color w:val="000000"/>
          <w:sz w:val="24"/>
          <w:szCs w:val="24"/>
        </w:rPr>
      </w:pPr>
      <w:r>
        <w:rPr>
          <w:b/>
          <w:color w:val="000000"/>
          <w:sz w:val="24"/>
          <w:szCs w:val="24"/>
        </w:rPr>
        <w:t xml:space="preserve">    </w:t>
      </w:r>
      <w:r>
        <w:rPr>
          <w:b/>
          <w:color w:val="000000"/>
          <w:sz w:val="24"/>
          <w:szCs w:val="24"/>
        </w:rPr>
        <w:t>3. Требования к документации по ценообразованию на этапе закупки</w:t>
      </w:r>
    </w:p>
    <w:p>
      <w:pPr>
        <w:pStyle w:val="Normal"/>
        <w:spacing w:before="0" w:after="120"/>
        <w:ind w:left="1224" w:right="397" w:hanging="504"/>
        <w:jc w:val="both"/>
        <w:rPr>
          <w:b w:val="false"/>
          <w:bCs w:val="false"/>
          <w:color w:val="000000"/>
          <w:sz w:val="24"/>
          <w:szCs w:val="24"/>
        </w:rPr>
      </w:pPr>
      <w:r>
        <w:rPr>
          <w:b w:val="false"/>
          <w:bCs w:val="false"/>
          <w:color w:val="000000"/>
          <w:sz w:val="24"/>
          <w:szCs w:val="24"/>
        </w:rPr>
        <w:t>3.1. Стоимость продукции должна включать затраты на транспортировку, упаковку, маркировку, страхование, уплату налогов, таможенных пошлин, сборов и все остальные расходы, связанные с исполнением обязательств Участника по договору.</w:t>
      </w:r>
    </w:p>
    <w:p>
      <w:pPr>
        <w:pStyle w:val="Normal"/>
        <w:spacing w:before="0" w:after="120"/>
        <w:ind w:left="1224" w:right="397" w:hanging="504"/>
        <w:jc w:val="both"/>
        <w:rPr>
          <w:b w:val="false"/>
          <w:bCs w:val="false"/>
          <w:color w:val="000000"/>
          <w:sz w:val="24"/>
          <w:szCs w:val="24"/>
        </w:rPr>
      </w:pPr>
      <w:r>
        <w:rPr>
          <w:b w:val="false"/>
          <w:bCs w:val="false"/>
          <w:color w:val="000000"/>
          <w:sz w:val="24"/>
          <w:szCs w:val="24"/>
        </w:rPr>
        <w:t>3.2. В обоснование стоимости своей заявки Участник предоставляет Коммерческое предложение по форме (с учетом прилагаемой к ней инструкции по заполнению), приведенной в Документации о закупке.</w:t>
      </w:r>
    </w:p>
    <w:p>
      <w:pPr>
        <w:pStyle w:val="Normal"/>
        <w:spacing w:before="0" w:after="120"/>
        <w:ind w:left="1224" w:right="397" w:hanging="504"/>
        <w:jc w:val="both"/>
        <w:rPr>
          <w:b w:val="false"/>
          <w:bCs w:val="false"/>
          <w:color w:val="000000"/>
          <w:sz w:val="24"/>
          <w:szCs w:val="24"/>
        </w:rPr>
      </w:pPr>
      <w:r>
        <w:rPr>
          <w:b w:val="false"/>
          <w:bCs w:val="false"/>
          <w:color w:val="000000"/>
          <w:sz w:val="24"/>
          <w:szCs w:val="24"/>
        </w:rPr>
        <w:t>3.3. Дополнительные документы по ценообразованию в состав заявки не включаются.</w:t>
      </w:r>
    </w:p>
    <w:p>
      <w:pPr>
        <w:sectPr>
          <w:headerReference w:type="default" r:id="rId5"/>
          <w:headerReference w:type="first" r:id="rId6"/>
          <w:type w:val="nextPage"/>
          <w:pgSz w:orient="landscape" w:w="16838" w:h="11906"/>
          <w:pgMar w:left="992" w:right="1134" w:gutter="0" w:header="680" w:top="1134" w:footer="0" w:bottom="567"/>
          <w:pgNumType w:fmt="decimal"/>
          <w:formProt w:val="false"/>
          <w:titlePg/>
          <w:textDirection w:val="lrTb"/>
          <w:docGrid w:type="default" w:linePitch="381" w:charSpace="0"/>
        </w:sectPr>
        <w:pStyle w:val="Normal"/>
        <w:spacing w:before="0" w:after="120"/>
        <w:ind w:left="1224" w:right="397" w:hanging="504"/>
        <w:jc w:val="both"/>
        <w:rPr>
          <w:b w:val="false"/>
          <w:bCs w:val="false"/>
          <w:color w:val="000000"/>
          <w:sz w:val="24"/>
          <w:szCs w:val="24"/>
        </w:rPr>
      </w:pPr>
      <w:r>
        <w:rPr>
          <w:b w:val="false"/>
          <w:bCs w:val="false"/>
          <w:color w:val="000000"/>
          <w:sz w:val="24"/>
          <w:szCs w:val="24"/>
        </w:rPr>
      </w:r>
      <w:r>
        <w:br w:type="page"/>
      </w:r>
    </w:p>
    <w:p>
      <w:pPr>
        <w:pStyle w:val="Normal"/>
        <w:rPr>
          <w:rFonts w:eastAsia="Calibri"/>
          <w:b/>
          <w:iCs/>
          <w:sz w:val="24"/>
          <w:szCs w:val="24"/>
          <w:lang w:val="x-none" w:eastAsia="x-none"/>
        </w:rPr>
      </w:pPr>
      <w:r>
        <w:rPr>
          <w:rFonts w:eastAsia="Calibri"/>
          <w:b/>
          <w:iCs/>
          <w:sz w:val="24"/>
          <w:szCs w:val="24"/>
          <w:lang w:val="x-none" w:eastAsia="x-none"/>
        </w:rPr>
      </w:r>
    </w:p>
    <w:p>
      <w:pPr>
        <w:pStyle w:val="Heading1"/>
        <w:keepLines/>
        <w:numPr>
          <w:ilvl w:val="0"/>
          <w:numId w:val="3"/>
        </w:numPr>
        <w:ind w:left="357" w:hanging="357"/>
        <w:jc w:val="center"/>
        <w:rPr/>
      </w:pPr>
      <w:bookmarkStart w:id="46" w:name="_Toc46743519"/>
      <w:bookmarkStart w:id="47" w:name="_Toc51339699"/>
      <w:bookmarkStart w:id="48" w:name="_Toc194314075"/>
      <w:r>
        <w:rPr>
          <w:iCs/>
        </w:rPr>
        <w:t>Приложения</w:t>
      </w:r>
      <w:bookmarkEnd w:id="46"/>
      <w:bookmarkEnd w:id="47"/>
      <w:bookmarkEnd w:id="48"/>
    </w:p>
    <w:p>
      <w:pPr>
        <w:pStyle w:val="Normal"/>
        <w:rPr>
          <w:lang w:val="x-none" w:eastAsia="x-none"/>
        </w:rPr>
      </w:pPr>
      <w:r>
        <w:rPr>
          <w:lang w:val="x-none" w:eastAsia="x-none"/>
        </w:rPr>
      </w:r>
    </w:p>
    <w:p>
      <w:pPr>
        <w:pStyle w:val="Normal"/>
        <w:ind w:left="1224" w:firstLine="709"/>
        <w:rPr/>
      </w:pPr>
      <w:r>
        <w:rPr>
          <w:lang w:eastAsia="x-none"/>
        </w:rPr>
        <w:t>Приложение №</w:t>
      </w:r>
      <w:r>
        <w:rPr>
          <w:lang w:val="en-US" w:eastAsia="x-none"/>
        </w:rPr>
        <w:t>1</w:t>
      </w:r>
      <w:r>
        <w:rPr>
          <w:lang w:eastAsia="x-none"/>
        </w:rPr>
        <w:t xml:space="preserve">: </w:t>
      </w:r>
      <w:r>
        <w:rPr/>
        <w:t>Корпоративные требования.</w:t>
      </w:r>
    </w:p>
    <w:p>
      <w:pPr>
        <w:pStyle w:val="Normal"/>
        <w:ind w:left="1224" w:firstLine="709"/>
        <w:rPr/>
      </w:pPr>
      <w:r>
        <w:rPr>
          <w:lang w:eastAsia="x-none"/>
        </w:rPr>
        <w:t>Приложение №</w:t>
      </w:r>
      <w:r>
        <w:rPr>
          <w:lang w:val="en-US" w:eastAsia="x-none"/>
        </w:rPr>
        <w:t>2</w:t>
      </w:r>
      <w:r>
        <w:rPr>
          <w:lang w:eastAsia="x-none"/>
        </w:rPr>
        <w:t xml:space="preserve">: </w:t>
      </w:r>
      <w:r>
        <w:rPr>
          <w:lang w:val="en-US"/>
        </w:rPr>
        <w:t>Таблица определения размера.</w:t>
      </w:r>
    </w:p>
    <w:p>
      <w:pPr>
        <w:pStyle w:val="Normal"/>
        <w:ind w:left="1224" w:firstLine="709"/>
        <w:rPr>
          <w:lang w:eastAsia="x-none"/>
        </w:rPr>
      </w:pPr>
      <w:r>
        <w:rPr>
          <w:lang w:eastAsia="x-none"/>
        </w:rPr>
      </w:r>
    </w:p>
    <w:p>
      <w:pPr>
        <w:pStyle w:val="Normal"/>
        <w:ind w:left="1224" w:firstLine="709"/>
        <w:rPr>
          <w:lang w:eastAsia="x-none"/>
        </w:rPr>
      </w:pPr>
      <w:r>
        <w:rPr>
          <w:lang w:eastAsia="x-none"/>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bookmarkStart w:id="49" w:name="_GoBack"/>
      <w:bookmarkStart w:id="50" w:name="_GoBack"/>
      <w:bookmarkEnd w:id="50"/>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spacing w:before="0" w:after="120"/>
        <w:rPr>
          <w:bCs/>
          <w:sz w:val="24"/>
          <w:szCs w:val="24"/>
        </w:rPr>
      </w:pPr>
      <w:r>
        <w:rPr>
          <w:bCs/>
          <w:sz w:val="24"/>
          <w:szCs w:val="24"/>
        </w:rPr>
      </w:r>
    </w:p>
    <w:p>
      <w:pPr>
        <w:pStyle w:val="Normal"/>
        <w:ind w:left="1224" w:firstLine="709"/>
        <w:jc w:val="right"/>
        <w:rPr/>
      </w:pPr>
      <w:r>
        <w:rPr>
          <w:lang w:eastAsia="x-none"/>
        </w:rPr>
        <w:t xml:space="preserve">Приложение №1 </w:t>
      </w:r>
    </w:p>
    <w:p>
      <w:pPr>
        <w:pStyle w:val="Normal"/>
        <w:ind w:left="1224" w:firstLine="709"/>
        <w:jc w:val="right"/>
        <w:rPr/>
      </w:pPr>
      <w:r>
        <w:rPr>
          <w:lang w:eastAsia="x-none"/>
        </w:rPr>
        <w:t>к Техническим требованиям</w:t>
      </w:r>
    </w:p>
    <w:p>
      <w:pPr>
        <w:pStyle w:val="Normal"/>
        <w:spacing w:before="0" w:after="120"/>
        <w:jc w:val="center"/>
        <w:rPr>
          <w:b/>
          <w:lang w:eastAsia="x-none"/>
        </w:rPr>
      </w:pPr>
      <w:r>
        <w:rPr>
          <w:b/>
          <w:lang w:eastAsia="x-none"/>
        </w:rPr>
      </w:r>
    </w:p>
    <w:p>
      <w:pPr>
        <w:pStyle w:val="Normal"/>
        <w:widowControl w:val="false"/>
        <w:tabs>
          <w:tab w:val="clear" w:pos="720"/>
          <w:tab w:val="left" w:pos="426" w:leader="none"/>
        </w:tabs>
        <w:spacing w:before="120" w:after="120"/>
        <w:jc w:val="center"/>
        <w:rPr/>
      </w:pPr>
      <w:r>
        <w:rPr>
          <w:b/>
          <w:lang w:eastAsia="x-none"/>
        </w:rPr>
        <w:t>Корпоративные требования</w:t>
      </w:r>
    </w:p>
    <w:p>
      <w:pPr>
        <w:pStyle w:val="ListParagraph"/>
        <w:numPr>
          <w:ilvl w:val="0"/>
          <w:numId w:val="15"/>
        </w:numPr>
        <w:tabs>
          <w:tab w:val="clear" w:pos="720"/>
          <w:tab w:val="left" w:pos="993" w:leader="none"/>
          <w:tab w:val="left" w:pos="1276" w:leader="none"/>
        </w:tabs>
        <w:jc w:val="both"/>
        <w:rPr>
          <w:sz w:val="28"/>
        </w:rPr>
      </w:pPr>
      <w:r>
        <w:rPr>
          <w:sz w:val="28"/>
        </w:rPr>
        <w:t>Специальная одежда должна выполняться в корпоративном стиле Группы РусГидро:</w:t>
      </w:r>
    </w:p>
    <w:p>
      <w:pPr>
        <w:pStyle w:val="ListParagraph"/>
        <w:numPr>
          <w:ilvl w:val="0"/>
          <w:numId w:val="13"/>
        </w:numPr>
        <w:tabs>
          <w:tab w:val="clear" w:pos="720"/>
          <w:tab w:val="left" w:pos="1134" w:leader="none"/>
        </w:tabs>
        <w:ind w:left="0" w:firstLine="709"/>
        <w:jc w:val="both"/>
        <w:rPr>
          <w:sz w:val="28"/>
        </w:rPr>
      </w:pPr>
      <w:r>
        <w:rPr>
          <w:sz w:val="28"/>
        </w:rPr>
        <w:t>основной цвет – темно-синий, василек;</w:t>
      </w:r>
    </w:p>
    <w:p>
      <w:pPr>
        <w:pStyle w:val="ListParagraph"/>
        <w:numPr>
          <w:ilvl w:val="0"/>
          <w:numId w:val="13"/>
        </w:numPr>
        <w:tabs>
          <w:tab w:val="clear" w:pos="720"/>
          <w:tab w:val="left" w:pos="1134" w:leader="none"/>
        </w:tabs>
        <w:ind w:left="0" w:firstLine="709"/>
        <w:jc w:val="both"/>
        <w:rPr>
          <w:sz w:val="28"/>
        </w:rPr>
      </w:pPr>
      <w:r>
        <w:rPr>
          <w:sz w:val="28"/>
        </w:rPr>
        <w:t>цвет отделочной ткани – оранжевый;</w:t>
      </w:r>
    </w:p>
    <w:p>
      <w:pPr>
        <w:pStyle w:val="ListParagraph"/>
        <w:numPr>
          <w:ilvl w:val="0"/>
          <w:numId w:val="13"/>
        </w:numPr>
        <w:tabs>
          <w:tab w:val="clear" w:pos="720"/>
          <w:tab w:val="left" w:pos="1134" w:leader="none"/>
        </w:tabs>
        <w:ind w:left="0" w:firstLine="709"/>
        <w:jc w:val="both"/>
        <w:rPr>
          <w:sz w:val="28"/>
        </w:rPr>
      </w:pPr>
      <w:r>
        <w:rPr>
          <w:sz w:val="28"/>
        </w:rPr>
        <w:t>световозвращающая лента шириной 25-50 мм должна располагаться по кокеткам полочек и спинки, по нижней части рукавов и брюк;</w:t>
      </w:r>
    </w:p>
    <w:p>
      <w:pPr>
        <w:pStyle w:val="ListParagraph"/>
        <w:numPr>
          <w:ilvl w:val="0"/>
          <w:numId w:val="13"/>
        </w:numPr>
        <w:tabs>
          <w:tab w:val="clear" w:pos="720"/>
          <w:tab w:val="left" w:pos="1134" w:leader="none"/>
        </w:tabs>
        <w:ind w:left="0" w:firstLine="709"/>
        <w:jc w:val="both"/>
        <w:rPr>
          <w:sz w:val="28"/>
        </w:rPr>
      </w:pPr>
      <w:r>
        <w:rPr>
          <w:sz w:val="28"/>
        </w:rPr>
        <w:t>световозвращающая лента на костюмах – серая.</w:t>
      </w:r>
    </w:p>
    <w:p>
      <w:pPr>
        <w:pStyle w:val="ListParagraph"/>
        <w:tabs>
          <w:tab w:val="clear" w:pos="720"/>
          <w:tab w:val="left" w:pos="1134" w:leader="none"/>
        </w:tabs>
        <w:ind w:left="709" w:hanging="0"/>
        <w:jc w:val="both"/>
        <w:rPr>
          <w:sz w:val="28"/>
        </w:rPr>
      </w:pPr>
      <w:r>
        <w:rPr>
          <w:sz w:val="28"/>
        </w:rPr>
      </w:r>
    </w:p>
    <w:p>
      <w:pPr>
        <w:pStyle w:val="Normal"/>
        <w:tabs>
          <w:tab w:val="clear" w:pos="720"/>
          <w:tab w:val="left" w:pos="0" w:leader="none"/>
          <w:tab w:val="left" w:pos="1276" w:leader="none"/>
        </w:tabs>
        <w:ind w:left="1224" w:firstLine="709"/>
        <w:jc w:val="both"/>
        <w:rPr>
          <w:szCs w:val="24"/>
        </w:rPr>
      </w:pPr>
      <w:r>
        <w:rPr>
          <w:szCs w:val="24"/>
        </w:rPr>
        <w:t>1.1. Требования к логотипам Группы РусГидро:</w:t>
      </w:r>
    </w:p>
    <w:p>
      <w:pPr>
        <w:pStyle w:val="Normal"/>
        <w:ind w:left="1224" w:firstLine="709"/>
        <w:jc w:val="both"/>
        <w:rPr>
          <w:szCs w:val="24"/>
        </w:rPr>
      </w:pPr>
      <w:r>
        <w:rPr>
          <w:szCs w:val="24"/>
          <w:lang w:val="en-US"/>
        </w:rPr>
        <w:t>1</w:t>
      </w:r>
      <w:r>
        <w:rPr>
          <w:szCs w:val="24"/>
        </w:rPr>
        <w:t>.1.1. Логотип-термопечать:</w:t>
      </w:r>
    </w:p>
    <w:p>
      <w:pPr>
        <w:pStyle w:val="ListParagraph"/>
        <w:numPr>
          <w:ilvl w:val="0"/>
          <w:numId w:val="14"/>
        </w:numPr>
        <w:tabs>
          <w:tab w:val="clear" w:pos="720"/>
          <w:tab w:val="left" w:pos="1134" w:leader="none"/>
        </w:tabs>
        <w:ind w:left="1418" w:hanging="709"/>
        <w:jc w:val="both"/>
        <w:rPr>
          <w:sz w:val="28"/>
        </w:rPr>
      </w:pPr>
      <w:r>
        <w:rPr>
          <w:sz w:val="28"/>
        </w:rPr>
        <w:t>месторасположение логотипа: на спине под кокеткой согласно макету;</w:t>
      </w:r>
    </w:p>
    <w:p>
      <w:pPr>
        <w:pStyle w:val="ListParagraph"/>
        <w:numPr>
          <w:ilvl w:val="0"/>
          <w:numId w:val="14"/>
        </w:numPr>
        <w:tabs>
          <w:tab w:val="clear" w:pos="720"/>
          <w:tab w:val="left" w:pos="1134" w:leader="none"/>
        </w:tabs>
        <w:ind w:left="1418" w:hanging="709"/>
        <w:jc w:val="both"/>
        <w:rPr>
          <w:sz w:val="28"/>
        </w:rPr>
      </w:pPr>
      <w:r>
        <w:rPr>
          <w:sz w:val="28"/>
        </w:rPr>
        <w:t>цветовое сочетание логотипа согласно макету;</w:t>
      </w:r>
    </w:p>
    <w:p>
      <w:pPr>
        <w:pStyle w:val="ListParagraph"/>
        <w:numPr>
          <w:ilvl w:val="0"/>
          <w:numId w:val="14"/>
        </w:numPr>
        <w:tabs>
          <w:tab w:val="clear" w:pos="720"/>
          <w:tab w:val="left" w:pos="1134" w:leader="none"/>
        </w:tabs>
        <w:ind w:left="0" w:firstLine="709"/>
        <w:jc w:val="both"/>
        <w:rPr>
          <w:sz w:val="28"/>
        </w:rPr>
      </w:pPr>
      <w:r>
        <w:rPr>
          <w:sz w:val="28"/>
        </w:rPr>
        <w:t>наименование ПО, ее подразделения/филиала и размер логотипа уточняется при заключении договора.</w:t>
      </w:r>
    </w:p>
    <w:p>
      <w:pPr>
        <w:pStyle w:val="Normal"/>
        <w:tabs>
          <w:tab w:val="clear" w:pos="720"/>
          <w:tab w:val="left" w:pos="1134" w:leader="none"/>
        </w:tabs>
        <w:ind w:left="709" w:hanging="504"/>
        <w:jc w:val="both"/>
        <w:rPr/>
      </w:pPr>
      <w:r>
        <w:rPr/>
      </w:r>
    </w:p>
    <w:p>
      <w:pPr>
        <w:pStyle w:val="Normal"/>
        <w:tabs>
          <w:tab w:val="clear" w:pos="720"/>
          <w:tab w:val="left" w:pos="1134" w:leader="none"/>
        </w:tabs>
        <w:ind w:left="709" w:hanging="504"/>
        <w:jc w:val="center"/>
        <w:rPr/>
      </w:pPr>
      <w:r>
        <w:rPr/>
        <w:drawing>
          <wp:inline distT="0" distB="0" distL="0" distR="0">
            <wp:extent cx="5697220" cy="3165475"/>
            <wp:effectExtent l="0" t="0" r="0" b="0"/>
            <wp:docPr id="3"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
                    <pic:cNvPicPr>
                      <a:picLocks noChangeAspect="1" noChangeArrowheads="1"/>
                    </pic:cNvPicPr>
                  </pic:nvPicPr>
                  <pic:blipFill>
                    <a:blip r:embed="rId7"/>
                    <a:stretch>
                      <a:fillRect/>
                    </a:stretch>
                  </pic:blipFill>
                  <pic:spPr bwMode="auto">
                    <a:xfrm>
                      <a:off x="0" y="0"/>
                      <a:ext cx="5697220" cy="3165475"/>
                    </a:xfrm>
                    <a:prstGeom prst="rect">
                      <a:avLst/>
                    </a:prstGeom>
                  </pic:spPr>
                </pic:pic>
              </a:graphicData>
            </a:graphic>
          </wp:inline>
        </w:drawing>
      </w:r>
    </w:p>
    <w:p>
      <w:pPr>
        <w:pStyle w:val="Normal"/>
        <w:tabs>
          <w:tab w:val="clear" w:pos="720"/>
          <w:tab w:val="left" w:pos="0" w:leader="none"/>
          <w:tab w:val="left" w:pos="1276" w:leader="none"/>
        </w:tabs>
        <w:ind w:left="1224" w:firstLine="709"/>
        <w:jc w:val="both"/>
        <w:rPr/>
      </w:pPr>
      <w:r>
        <w:rPr/>
      </w:r>
    </w:p>
    <w:p>
      <w:pPr>
        <w:pStyle w:val="Normal"/>
        <w:tabs>
          <w:tab w:val="clear" w:pos="720"/>
          <w:tab w:val="left" w:pos="0" w:leader="none"/>
        </w:tabs>
        <w:ind w:left="1224" w:firstLine="709"/>
        <w:jc w:val="both"/>
        <w:rPr/>
      </w:pPr>
      <w:r>
        <w:rPr/>
        <w:t>1.1.2. Шеврон (термопечать) на клапане левого нагрудного кармана (либо на кармане) (наименование ПО / подразделения/филиала уточняется при заключении договора):</w:t>
      </w:r>
    </w:p>
    <w:p>
      <w:pPr>
        <w:pStyle w:val="ListParagraph"/>
        <w:numPr>
          <w:ilvl w:val="0"/>
          <w:numId w:val="7"/>
        </w:numPr>
        <w:tabs>
          <w:tab w:val="clear" w:pos="720"/>
          <w:tab w:val="left" w:pos="0" w:leader="none"/>
          <w:tab w:val="left" w:pos="1134" w:leader="none"/>
          <w:tab w:val="left" w:pos="2184" w:leader="none"/>
        </w:tabs>
        <w:ind w:left="0" w:firstLine="709"/>
        <w:jc w:val="both"/>
        <w:rPr/>
      </w:pPr>
      <w:r>
        <w:rPr>
          <w:sz w:val="28"/>
          <w:szCs w:val="28"/>
        </w:rPr>
        <w:t>месторасположение – на клапане левого нагрудного кармана или на нагрудном левом кармане;</w:t>
      </w:r>
    </w:p>
    <w:p>
      <w:pPr>
        <w:pStyle w:val="ListParagraph"/>
        <w:numPr>
          <w:ilvl w:val="0"/>
          <w:numId w:val="7"/>
        </w:numPr>
        <w:tabs>
          <w:tab w:val="clear" w:pos="720"/>
          <w:tab w:val="left" w:pos="1134" w:leader="none"/>
        </w:tabs>
        <w:ind w:left="0" w:firstLine="709"/>
        <w:jc w:val="both"/>
        <w:rPr/>
      </w:pPr>
      <w:r>
        <w:rPr>
          <w:sz w:val="28"/>
          <w:szCs w:val="28"/>
        </w:rPr>
        <w:t>цветовое сочетание логотипа согласно макету.</w:t>
      </w:r>
    </w:p>
    <w:p>
      <w:pPr>
        <w:pStyle w:val="Normal"/>
        <w:tabs>
          <w:tab w:val="clear" w:pos="720"/>
          <w:tab w:val="left" w:pos="2184" w:leader="none"/>
        </w:tabs>
        <w:ind w:left="1224" w:firstLine="709"/>
        <w:jc w:val="both"/>
        <w:rPr/>
      </w:pPr>
      <w:r>
        <w:rPr/>
        <w:drawing>
          <wp:anchor behindDoc="0" distT="0" distB="0" distL="0" distR="0" simplePos="0" locked="0" layoutInCell="0" allowOverlap="1" relativeHeight="12">
            <wp:simplePos x="0" y="0"/>
            <wp:positionH relativeFrom="column">
              <wp:posOffset>2113280</wp:posOffset>
            </wp:positionH>
            <wp:positionV relativeFrom="paragraph">
              <wp:posOffset>937260</wp:posOffset>
            </wp:positionV>
            <wp:extent cx="2722880" cy="721995"/>
            <wp:effectExtent l="0" t="0" r="0" b="0"/>
            <wp:wrapNone/>
            <wp:docPr id="4" name="Рисунок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9" descr=""/>
                    <pic:cNvPicPr>
                      <a:picLocks noChangeAspect="1" noChangeArrowheads="1"/>
                    </pic:cNvPicPr>
                  </pic:nvPicPr>
                  <pic:blipFill>
                    <a:blip r:embed="rId8"/>
                    <a:stretch>
                      <a:fillRect/>
                    </a:stretch>
                  </pic:blipFill>
                  <pic:spPr bwMode="auto">
                    <a:xfrm>
                      <a:off x="0" y="0"/>
                      <a:ext cx="2722880" cy="721995"/>
                    </a:xfrm>
                    <a:prstGeom prst="rect">
                      <a:avLst/>
                    </a:prstGeom>
                  </pic:spPr>
                </pic:pic>
              </a:graphicData>
            </a:graphic>
          </wp:anchor>
        </w:drawing>
        <w:drawing>
          <wp:inline distT="0" distB="0" distL="0" distR="0">
            <wp:extent cx="4843145" cy="3055620"/>
            <wp:effectExtent l="0" t="0" r="0" b="0"/>
            <wp:docPr id="5" name="Рисунок 60" descr="РусГидро_грудь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0" descr="РусГидро_грудь (002)"/>
                    <pic:cNvPicPr>
                      <a:picLocks noChangeAspect="1" noChangeArrowheads="1"/>
                    </pic:cNvPicPr>
                  </pic:nvPicPr>
                  <pic:blipFill>
                    <a:blip r:embed="rId9"/>
                    <a:stretch>
                      <a:fillRect/>
                    </a:stretch>
                  </pic:blipFill>
                  <pic:spPr bwMode="auto">
                    <a:xfrm>
                      <a:off x="0" y="0"/>
                      <a:ext cx="4843145" cy="3055620"/>
                    </a:xfrm>
                    <a:prstGeom prst="rect">
                      <a:avLst/>
                    </a:prstGeom>
                  </pic:spPr>
                </pic:pic>
              </a:graphicData>
            </a:graphic>
          </wp:inline>
        </w:drawing>
      </w:r>
    </w:p>
    <w:p>
      <w:pPr>
        <w:pStyle w:val="Normal"/>
        <w:tabs>
          <w:tab w:val="clear" w:pos="720"/>
          <w:tab w:val="left" w:pos="1134" w:leader="none"/>
        </w:tabs>
        <w:ind w:left="1224" w:firstLine="709"/>
        <w:rPr/>
      </w:pPr>
      <w:r>
        <w:rPr/>
      </w:r>
    </w:p>
    <w:p>
      <w:pPr>
        <w:pStyle w:val="Normal"/>
        <w:tabs>
          <w:tab w:val="clear" w:pos="720"/>
          <w:tab w:val="left" w:pos="1276" w:leader="none"/>
        </w:tabs>
        <w:ind w:left="1224" w:firstLine="709"/>
        <w:rPr/>
      </w:pPr>
      <w:r>
        <w:rPr/>
        <w:t>1.1.3. Шеврон 2 (эскиз) РусГидро диаметром 60 мм:</w:t>
      </w:r>
    </w:p>
    <w:p>
      <w:pPr>
        <w:pStyle w:val="Normal"/>
        <w:tabs>
          <w:tab w:val="clear" w:pos="720"/>
          <w:tab w:val="left" w:pos="1134" w:leader="none"/>
        </w:tabs>
        <w:ind w:left="1224" w:firstLine="709"/>
        <w:rPr/>
      </w:pPr>
      <w:r>
        <w:rPr/>
        <w:t>-</w:t>
        <w:tab/>
        <w:t>месторасположение – на левом рукаве, 10 см от оката рукава;</w:t>
      </w:r>
    </w:p>
    <w:p>
      <w:pPr>
        <w:pStyle w:val="Normal"/>
        <w:tabs>
          <w:tab w:val="clear" w:pos="720"/>
          <w:tab w:val="left" w:pos="1134" w:leader="none"/>
        </w:tabs>
        <w:ind w:left="1224" w:firstLine="709"/>
        <w:rPr/>
      </w:pPr>
      <w:r>
        <w:rPr/>
        <w:t>-</w:t>
        <w:tab/>
        <w:t>цветовое сочетание шеврона согласно макету:</w:t>
      </w:r>
    </w:p>
    <w:p>
      <w:pPr>
        <w:pStyle w:val="Normal"/>
        <w:jc w:val="center"/>
        <w:rPr/>
      </w:pPr>
      <w:r>
        <w:rPr/>
        <w:drawing>
          <wp:inline distT="0" distB="0" distL="0" distR="0">
            <wp:extent cx="3594735" cy="2028825"/>
            <wp:effectExtent l="0" t="0" r="0" b="0"/>
            <wp:docPr id="6" name="Рисунок 61" descr="РусГидро_рукав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1" descr="РусГидро_рукав (002)"/>
                    <pic:cNvPicPr>
                      <a:picLocks noChangeAspect="1" noChangeArrowheads="1"/>
                    </pic:cNvPicPr>
                  </pic:nvPicPr>
                  <pic:blipFill>
                    <a:blip r:embed="rId10"/>
                    <a:stretch>
                      <a:fillRect/>
                    </a:stretch>
                  </pic:blipFill>
                  <pic:spPr bwMode="auto">
                    <a:xfrm>
                      <a:off x="0" y="0"/>
                      <a:ext cx="3594735" cy="2028825"/>
                    </a:xfrm>
                    <a:prstGeom prst="rect">
                      <a:avLst/>
                    </a:prstGeom>
                  </pic:spPr>
                </pic:pic>
              </a:graphicData>
            </a:graphic>
          </wp:inline>
        </w:drawing>
      </w:r>
    </w:p>
    <w:p>
      <w:pPr>
        <w:pStyle w:val="Normal"/>
        <w:tabs>
          <w:tab w:val="clear" w:pos="720"/>
          <w:tab w:val="left" w:pos="2184" w:leader="none"/>
        </w:tabs>
        <w:ind w:left="1429" w:hanging="504"/>
        <w:jc w:val="both"/>
        <w:rPr/>
      </w:pPr>
      <w:r>
        <w:rPr/>
      </w:r>
    </w:p>
    <w:p>
      <w:pPr>
        <w:pStyle w:val="Normal"/>
        <w:ind w:left="1224" w:firstLine="709"/>
        <w:jc w:val="both"/>
        <w:rPr>
          <w:szCs w:val="24"/>
        </w:rPr>
      </w:pPr>
      <w:r>
        <w:rPr>
          <w:szCs w:val="24"/>
        </w:rPr>
        <w:t>1.1.4 Логотип касок</w:t>
      </w:r>
    </w:p>
    <w:p>
      <w:pPr>
        <w:pStyle w:val="Normal"/>
        <w:ind w:left="1224" w:firstLine="709"/>
        <w:jc w:val="both"/>
        <w:rPr>
          <w:szCs w:val="24"/>
        </w:rPr>
      </w:pPr>
      <w:r>
        <w:rPr>
          <w:szCs w:val="24"/>
        </w:rPr>
        <w:t xml:space="preserve">Место нанесения – лобная часть каски. На оранжевых и синих касках фирменный блок печатается как на образце. Фирменный блок наносится на фронтальную часть каски. Ширина фирменного блока около 60 мм. Используемые цветовые пантоны: (оранжевый – </w:t>
      </w:r>
      <w:r>
        <w:rPr>
          <w:szCs w:val="24"/>
          <w:lang w:val="en-US"/>
        </w:rPr>
        <w:t>Pantone</w:t>
      </w:r>
      <w:r>
        <w:rPr>
          <w:szCs w:val="24"/>
        </w:rPr>
        <w:t xml:space="preserve"> 165С, синий – </w:t>
      </w:r>
      <w:r>
        <w:rPr>
          <w:szCs w:val="24"/>
          <w:lang w:val="en-US"/>
        </w:rPr>
        <w:t>Pantone</w:t>
      </w:r>
      <w:r>
        <w:rPr>
          <w:szCs w:val="24"/>
        </w:rPr>
        <w:t xml:space="preserve"> 300</w:t>
      </w:r>
      <w:r>
        <w:rPr>
          <w:szCs w:val="24"/>
          <w:lang w:val="en-US"/>
        </w:rPr>
        <w:t>C</w:t>
      </w:r>
      <w:r>
        <w:rPr>
          <w:szCs w:val="24"/>
        </w:rPr>
        <w:t>).</w:t>
      </w:r>
    </w:p>
    <w:p>
      <w:pPr>
        <w:pStyle w:val="Normal"/>
        <w:tabs>
          <w:tab w:val="clear" w:pos="720"/>
          <w:tab w:val="left" w:pos="2184" w:leader="none"/>
        </w:tabs>
        <w:ind w:left="1429" w:hanging="504"/>
        <w:jc w:val="both"/>
        <w:rPr>
          <w:sz w:val="32"/>
        </w:rPr>
      </w:pPr>
      <w:r>
        <w:rPr/>
        <w:drawing>
          <wp:inline distT="0" distB="0" distL="0" distR="0">
            <wp:extent cx="3533775" cy="3619500"/>
            <wp:effectExtent l="0" t="0" r="0" b="0"/>
            <wp:docPr id="7"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2" descr=""/>
                    <pic:cNvPicPr>
                      <a:picLocks noChangeAspect="1" noChangeArrowheads="1"/>
                    </pic:cNvPicPr>
                  </pic:nvPicPr>
                  <pic:blipFill>
                    <a:blip r:embed="rId11"/>
                    <a:stretch>
                      <a:fillRect/>
                    </a:stretch>
                  </pic:blipFill>
                  <pic:spPr bwMode="auto">
                    <a:xfrm>
                      <a:off x="0" y="0"/>
                      <a:ext cx="3533775" cy="3619500"/>
                    </a:xfrm>
                    <a:prstGeom prst="rect">
                      <a:avLst/>
                    </a:prstGeom>
                  </pic:spPr>
                </pic:pic>
              </a:graphicData>
            </a:graphic>
          </wp:inline>
        </w:drawing>
      </w:r>
    </w:p>
    <w:p>
      <w:pPr>
        <w:pStyle w:val="Normal"/>
        <w:tabs>
          <w:tab w:val="clear" w:pos="720"/>
          <w:tab w:val="left" w:pos="2184" w:leader="none"/>
        </w:tabs>
        <w:ind w:left="1429" w:hanging="504"/>
        <w:jc w:val="both"/>
        <w:rPr>
          <w:sz w:val="32"/>
        </w:rPr>
      </w:pPr>
      <w:r>
        <w:rPr>
          <w:sz w:val="32"/>
        </w:rPr>
      </w:r>
    </w:p>
    <w:p>
      <w:pPr>
        <w:pStyle w:val="Normal"/>
        <w:tabs>
          <w:tab w:val="clear" w:pos="720"/>
          <w:tab w:val="left" w:pos="2184" w:leader="none"/>
        </w:tabs>
        <w:ind w:left="1429" w:hanging="504"/>
        <w:jc w:val="both"/>
        <w:rPr>
          <w:sz w:val="32"/>
        </w:rPr>
      </w:pPr>
      <w:r>
        <w:rPr>
          <w:sz w:val="32"/>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sz w:val="24"/>
          <w:szCs w:val="24"/>
        </w:rPr>
        <w:t>Костюм летний от общих производственных загрязнений для ИТР</w:t>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drawing>
          <wp:anchor behindDoc="0" distT="0" distB="0" distL="0" distR="0" simplePos="0" locked="0" layoutInCell="0" allowOverlap="1" relativeHeight="13">
            <wp:simplePos x="0" y="0"/>
            <wp:positionH relativeFrom="column">
              <wp:posOffset>0</wp:posOffset>
            </wp:positionH>
            <wp:positionV relativeFrom="paragraph">
              <wp:posOffset>-635</wp:posOffset>
            </wp:positionV>
            <wp:extent cx="5402580" cy="7637145"/>
            <wp:effectExtent l="0" t="0" r="0" b="0"/>
            <wp:wrapNone/>
            <wp:docPr id="8" name="Рисунок 4" descr="89_Костюм муж летний для ИТР (куртка,брюки)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4" descr="89_Костюм муж летний для ИТР (куртка,брюки)_"/>
                    <pic:cNvPicPr>
                      <a:picLocks noChangeAspect="1" noChangeArrowheads="1"/>
                    </pic:cNvPicPr>
                  </pic:nvPicPr>
                  <pic:blipFill>
                    <a:blip r:embed="rId12"/>
                    <a:stretch>
                      <a:fillRect/>
                    </a:stretch>
                  </pic:blipFill>
                  <pic:spPr bwMode="auto">
                    <a:xfrm>
                      <a:off x="0" y="0"/>
                      <a:ext cx="5402580" cy="7637145"/>
                    </a:xfrm>
                    <a:prstGeom prst="rect">
                      <a:avLst/>
                    </a:prstGeom>
                  </pic:spPr>
                </pic:pic>
              </a:graphicData>
            </a:graphic>
          </wp:anchor>
        </w:drawing>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tabs>
          <w:tab w:val="clear" w:pos="720"/>
          <w:tab w:val="left" w:pos="2184" w:leader="none"/>
        </w:tabs>
        <w:ind w:left="1429" w:hanging="504"/>
        <w:jc w:val="both"/>
        <w:rPr/>
      </w:pPr>
      <w:r>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r>
    </w:p>
    <w:p>
      <w:pPr>
        <w:pStyle w:val="Normal"/>
        <w:ind w:left="1224" w:firstLine="709"/>
        <w:jc w:val="both"/>
        <w:rPr>
          <w:sz w:val="24"/>
        </w:rPr>
      </w:pPr>
      <w:r>
        <w:rPr>
          <w:sz w:val="24"/>
        </w:rPr>
        <w:t>Костюм утепленный для защиты от ОПЗ для ИТР</w:t>
      </w:r>
    </w:p>
    <w:p>
      <w:pPr>
        <w:pStyle w:val="Normal"/>
        <w:ind w:left="1224" w:firstLine="709"/>
        <w:jc w:val="both"/>
        <w:rPr/>
      </w:pPr>
      <w:r>
        <w:rPr/>
      </w:r>
    </w:p>
    <w:p>
      <w:pPr>
        <w:pStyle w:val="Normal"/>
        <w:ind w:left="1224" w:firstLine="709"/>
        <w:jc w:val="both"/>
        <w:rPr/>
      </w:pPr>
      <w:bookmarkStart w:id="51" w:name="_Toc150437259"/>
      <w:r>
        <w:rPr/>
        <w:drawing>
          <wp:inline distT="0" distB="0" distL="0" distR="0">
            <wp:extent cx="5099685" cy="7229475"/>
            <wp:effectExtent l="0" t="0" r="0" b="0"/>
            <wp:docPr id="9" name="Рисунок 5"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5" descr="4-1"/>
                    <pic:cNvPicPr>
                      <a:picLocks noChangeAspect="1" noChangeArrowheads="1"/>
                    </pic:cNvPicPr>
                  </pic:nvPicPr>
                  <pic:blipFill>
                    <a:blip r:embed="rId13"/>
                    <a:stretch>
                      <a:fillRect/>
                    </a:stretch>
                  </pic:blipFill>
                  <pic:spPr bwMode="auto">
                    <a:xfrm>
                      <a:off x="0" y="0"/>
                      <a:ext cx="5099685" cy="7229475"/>
                    </a:xfrm>
                    <a:prstGeom prst="rect">
                      <a:avLst/>
                    </a:prstGeom>
                  </pic:spPr>
                </pic:pic>
              </a:graphicData>
            </a:graphic>
          </wp:inline>
        </w:drawing>
      </w:r>
      <w:bookmarkEnd w:id="51"/>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drawing>
          <wp:anchor behindDoc="0" distT="0" distB="0" distL="0" distR="0" simplePos="0" locked="0" layoutInCell="0" allowOverlap="1" relativeHeight="16">
            <wp:simplePos x="0" y="0"/>
            <wp:positionH relativeFrom="margin">
              <wp:align>left</wp:align>
            </wp:positionH>
            <wp:positionV relativeFrom="paragraph">
              <wp:posOffset>203835</wp:posOffset>
            </wp:positionV>
            <wp:extent cx="2608580" cy="2286000"/>
            <wp:effectExtent l="0" t="0" r="0" b="0"/>
            <wp:wrapNone/>
            <wp:docPr id="10" name="Рисунок 53" descr="Каска защитная СОМЗ-55 Favorit 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53" descr="Каска защитная СОМЗ-55 Favorit белая"/>
                    <pic:cNvPicPr>
                      <a:picLocks noChangeAspect="1" noChangeArrowheads="1"/>
                    </pic:cNvPicPr>
                  </pic:nvPicPr>
                  <pic:blipFill>
                    <a:blip r:embed="rId14"/>
                    <a:srcRect l="24008" t="17812" r="18495" b="3868"/>
                    <a:stretch>
                      <a:fillRect/>
                    </a:stretch>
                  </pic:blipFill>
                  <pic:spPr bwMode="auto">
                    <a:xfrm>
                      <a:off x="0" y="0"/>
                      <a:ext cx="2608580" cy="2286000"/>
                    </a:xfrm>
                    <a:prstGeom prst="rect">
                      <a:avLst/>
                    </a:prstGeom>
                  </pic:spPr>
                </pic:pic>
              </a:graphicData>
            </a:graphic>
          </wp:anchor>
        </w:drawing>
      </w:r>
      <w:r>
        <w:rPr/>
        <w:t>Каска для ИТР</w:t>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t>Каска для рабочих</w:t>
      </w:r>
    </w:p>
    <w:p>
      <w:pPr>
        <w:pStyle w:val="Normal"/>
        <w:ind w:left="1224" w:firstLine="709"/>
        <w:jc w:val="both"/>
        <w:rPr/>
      </w:pPr>
      <w:r>
        <w:rPr/>
      </w:r>
    </w:p>
    <w:p>
      <w:pPr>
        <w:pStyle w:val="Normal"/>
        <w:ind w:left="1224" w:firstLine="709"/>
        <w:jc w:val="both"/>
        <w:rPr/>
      </w:pPr>
      <w:r>
        <w:rPr/>
        <w:drawing>
          <wp:anchor behindDoc="1" distT="0" distB="0" distL="0" distR="0" simplePos="0" locked="0" layoutInCell="0" allowOverlap="1" relativeHeight="17">
            <wp:simplePos x="0" y="0"/>
            <wp:positionH relativeFrom="margin">
              <wp:align>left</wp:align>
            </wp:positionH>
            <wp:positionV relativeFrom="paragraph">
              <wp:posOffset>200025</wp:posOffset>
            </wp:positionV>
            <wp:extent cx="3219450" cy="2570480"/>
            <wp:effectExtent l="0" t="0" r="0" b="0"/>
            <wp:wrapNone/>
            <wp:docPr id="11" name="Рисунок 48" descr="Каска СОМЗ-55 Фаворит оран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8" descr="Каска СОМЗ-55 Фаворит оранж"/>
                    <pic:cNvPicPr>
                      <a:picLocks noChangeAspect="1" noChangeArrowheads="1"/>
                    </pic:cNvPicPr>
                  </pic:nvPicPr>
                  <pic:blipFill>
                    <a:blip r:embed="rId15"/>
                    <a:srcRect l="0" t="24073" r="0" b="0"/>
                    <a:stretch>
                      <a:fillRect/>
                    </a:stretch>
                  </pic:blipFill>
                  <pic:spPr bwMode="auto">
                    <a:xfrm>
                      <a:off x="0" y="0"/>
                      <a:ext cx="3219450" cy="2570480"/>
                    </a:xfrm>
                    <a:prstGeom prst="rect">
                      <a:avLst/>
                    </a:prstGeom>
                  </pic:spPr>
                </pic:pic>
              </a:graphicData>
            </a:graphic>
          </wp:anchor>
        </w:drawing>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b/>
        </w:rPr>
      </w:pPr>
      <w:r>
        <w:rPr>
          <w:b/>
        </w:rPr>
      </w:r>
    </w:p>
    <w:p>
      <w:pPr>
        <w:pStyle w:val="Normal"/>
        <w:ind w:left="1224" w:firstLine="737"/>
        <w:jc w:val="center"/>
        <w:rPr/>
      </w:pPr>
      <w:r>
        <w:rPr>
          <w:b/>
        </w:rPr>
        <w:t>Обувь</w:t>
      </w:r>
    </w:p>
    <w:p>
      <w:pPr>
        <w:pStyle w:val="Normal"/>
        <w:ind w:left="1440" w:firstLine="720"/>
        <w:jc w:val="center"/>
        <w:rPr/>
      </w:pPr>
      <w:r>
        <w:rPr/>
      </w:r>
    </w:p>
    <w:p>
      <w:pPr>
        <w:pStyle w:val="Normal"/>
        <w:ind w:left="1224" w:firstLine="142"/>
        <w:rPr/>
      </w:pPr>
      <w:r>
        <w:rPr>
          <w:rFonts w:eastAsia="Calibri"/>
          <w:color w:val="000000"/>
          <w:szCs w:val="24"/>
          <w:lang w:eastAsia="en-US"/>
        </w:rPr>
        <w:t xml:space="preserve">Ботинки кожаные утепленные </w:t>
      </w:r>
    </w:p>
    <w:p>
      <w:pPr>
        <w:pStyle w:val="Normal"/>
        <w:ind w:left="1440" w:firstLine="720"/>
        <w:rPr/>
      </w:pPr>
      <w:r>
        <w:rPr/>
      </w:r>
    </w:p>
    <w:p>
      <w:pPr>
        <w:pStyle w:val="Normal"/>
        <w:widowControl w:val="false"/>
        <w:tabs>
          <w:tab w:val="clear" w:pos="720"/>
          <w:tab w:val="left" w:pos="426" w:leader="none"/>
        </w:tabs>
        <w:spacing w:before="120" w:after="120"/>
        <w:jc w:val="right"/>
        <w:rPr>
          <w:lang w:eastAsia="x-none"/>
        </w:rPr>
      </w:pPr>
      <w:r>
        <w:rPr>
          <w:lang w:eastAsia="x-none"/>
        </w:rPr>
        <w:drawing>
          <wp:anchor behindDoc="1" distT="0" distB="0" distL="0" distR="0" simplePos="0" locked="0" layoutInCell="0" allowOverlap="1" relativeHeight="15">
            <wp:simplePos x="0" y="0"/>
            <wp:positionH relativeFrom="column">
              <wp:posOffset>2623185</wp:posOffset>
            </wp:positionH>
            <wp:positionV relativeFrom="paragraph">
              <wp:posOffset>71120</wp:posOffset>
            </wp:positionV>
            <wp:extent cx="3670300" cy="3060700"/>
            <wp:effectExtent l="0" t="0" r="0" b="0"/>
            <wp:wrapNone/>
            <wp:docPr id="12"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
                    <pic:cNvPicPr>
                      <a:picLocks noChangeAspect="1" noChangeArrowheads="1"/>
                    </pic:cNvPicPr>
                  </pic:nvPicPr>
                  <pic:blipFill>
                    <a:blip r:embed="rId16"/>
                    <a:stretch>
                      <a:fillRect/>
                    </a:stretch>
                  </pic:blipFill>
                  <pic:spPr bwMode="auto">
                    <a:xfrm>
                      <a:off x="0" y="0"/>
                      <a:ext cx="3670300" cy="3060700"/>
                    </a:xfrm>
                    <a:prstGeom prst="rect">
                      <a:avLst/>
                    </a:prstGeom>
                  </pic:spPr>
                </pic:pic>
              </a:graphicData>
            </a:graphic>
          </wp:anchor>
        </w:drawing>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rPr>
          <w:lang w:eastAsia="x-none"/>
        </w:rPr>
      </w:pPr>
      <w:r>
        <w:rPr>
          <w:lang w:eastAsia="x-none"/>
        </w:rPr>
      </w:r>
    </w:p>
    <w:p>
      <w:pPr>
        <w:pStyle w:val="Normal"/>
        <w:widowControl w:val="false"/>
        <w:tabs>
          <w:tab w:val="clear" w:pos="720"/>
          <w:tab w:val="left" w:pos="426" w:leader="none"/>
        </w:tabs>
        <w:spacing w:before="120" w:after="120"/>
        <w:rPr/>
      </w:pPr>
      <w:r>
        <w:rPr>
          <w:lang w:eastAsia="x-none"/>
        </w:rPr>
        <w:t xml:space="preserve"> </w:t>
      </w:r>
      <w:r>
        <w:rPr>
          <w:lang w:eastAsia="x-none"/>
        </w:rPr>
        <w:t xml:space="preserve">Сапоги кожаные утепленные </w:t>
      </w:r>
    </w:p>
    <w:p>
      <w:pPr>
        <w:pStyle w:val="Normal"/>
        <w:widowControl w:val="false"/>
        <w:tabs>
          <w:tab w:val="clear" w:pos="720"/>
          <w:tab w:val="left" w:pos="426" w:leader="none"/>
        </w:tabs>
        <w:spacing w:before="120" w:after="120"/>
        <w:jc w:val="right"/>
        <w:rPr>
          <w:lang w:eastAsia="x-none"/>
        </w:rPr>
      </w:pPr>
      <w:r>
        <w:rPr>
          <w:lang w:eastAsia="x-none"/>
        </w:rPr>
        <w:drawing>
          <wp:anchor behindDoc="0" distT="0" distB="0" distL="0" distR="0" simplePos="0" locked="0" layoutInCell="0" allowOverlap="1" relativeHeight="14">
            <wp:simplePos x="0" y="0"/>
            <wp:positionH relativeFrom="column">
              <wp:posOffset>3089910</wp:posOffset>
            </wp:positionH>
            <wp:positionV relativeFrom="paragraph">
              <wp:posOffset>-76200</wp:posOffset>
            </wp:positionV>
            <wp:extent cx="2679700" cy="3793490"/>
            <wp:effectExtent l="0" t="0" r="0" b="0"/>
            <wp:wrapNone/>
            <wp:docPr id="13" name="Рисунок 3" descr="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3" descr="3823"/>
                    <pic:cNvPicPr>
                      <a:picLocks noChangeAspect="1" noChangeArrowheads="1"/>
                    </pic:cNvPicPr>
                  </pic:nvPicPr>
                  <pic:blipFill>
                    <a:blip r:embed="rId17"/>
                    <a:stretch>
                      <a:fillRect/>
                    </a:stretch>
                  </pic:blipFill>
                  <pic:spPr bwMode="auto">
                    <a:xfrm>
                      <a:off x="0" y="0"/>
                      <a:ext cx="2679700" cy="3793490"/>
                    </a:xfrm>
                    <a:prstGeom prst="rect">
                      <a:avLst/>
                    </a:prstGeom>
                  </pic:spPr>
                </pic:pic>
              </a:graphicData>
            </a:graphic>
          </wp:anchor>
        </w:drawing>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widowControl w:val="false"/>
        <w:tabs>
          <w:tab w:val="clear" w:pos="720"/>
          <w:tab w:val="left" w:pos="426" w:leader="none"/>
        </w:tabs>
        <w:spacing w:before="120" w:after="120"/>
        <w:jc w:val="right"/>
        <w:rPr>
          <w:lang w:eastAsia="x-none"/>
        </w:rPr>
      </w:pPr>
      <w:r>
        <w:rPr>
          <w:lang w:eastAsia="x-none"/>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ind w:left="1224" w:firstLine="709"/>
        <w:jc w:val="both"/>
        <w:rPr/>
      </w:pPr>
      <w:r>
        <w:rPr/>
      </w:r>
    </w:p>
    <w:p>
      <w:pPr>
        <w:pStyle w:val="Normal"/>
        <w:widowControl w:val="false"/>
        <w:tabs>
          <w:tab w:val="clear" w:pos="720"/>
          <w:tab w:val="left" w:pos="426" w:leader="none"/>
        </w:tabs>
        <w:spacing w:before="120" w:after="120"/>
        <w:jc w:val="right"/>
        <w:rPr/>
      </w:pPr>
      <w:r>
        <w:rPr>
          <w:lang w:eastAsia="x-none"/>
        </w:rPr>
        <w:t xml:space="preserve">Приложение №2 </w:t>
      </w:r>
    </w:p>
    <w:p>
      <w:pPr>
        <w:pStyle w:val="Normal"/>
        <w:widowControl w:val="false"/>
        <w:tabs>
          <w:tab w:val="clear" w:pos="720"/>
          <w:tab w:val="left" w:pos="426" w:leader="none"/>
        </w:tabs>
        <w:spacing w:before="120" w:after="120"/>
        <w:jc w:val="right"/>
        <w:rPr/>
      </w:pPr>
      <w:r>
        <w:rPr>
          <w:lang w:eastAsia="x-none"/>
        </w:rPr>
        <w:t>к Техническим требованиям</w:t>
      </w:r>
    </w:p>
    <w:p>
      <w:pPr>
        <w:pStyle w:val="Normal"/>
        <w:widowControl w:val="false"/>
        <w:tabs>
          <w:tab w:val="clear" w:pos="720"/>
          <w:tab w:val="left" w:pos="426" w:leader="none"/>
        </w:tabs>
        <w:spacing w:before="120" w:after="120"/>
        <w:jc w:val="center"/>
        <w:rPr>
          <w:i/>
          <w:i/>
          <w:iCs/>
          <w:sz w:val="24"/>
          <w:szCs w:val="24"/>
          <w:shd w:fill="FFFF99" w:val="clear"/>
        </w:rPr>
      </w:pPr>
      <w:r>
        <w:rPr>
          <w:i/>
          <w:iCs/>
          <w:sz w:val="24"/>
          <w:szCs w:val="24"/>
          <w:shd w:fill="FFFF99" w:val="clear"/>
        </w:rPr>
      </w:r>
    </w:p>
    <w:p>
      <w:pPr>
        <w:pStyle w:val="Normal"/>
        <w:ind w:left="1224" w:firstLine="709"/>
        <w:jc w:val="center"/>
        <w:rPr/>
      </w:pPr>
      <w:r>
        <w:rPr>
          <w:b/>
        </w:rPr>
        <w:t>Таблица определения размера по ГОСТ 12.4.280—2014</w:t>
      </w:r>
    </w:p>
    <w:p>
      <w:pPr>
        <w:pStyle w:val="Normal"/>
        <w:ind w:left="1224" w:firstLine="709"/>
        <w:jc w:val="center"/>
        <w:rPr>
          <w:b/>
        </w:rPr>
      </w:pPr>
      <w:r>
        <w:rPr>
          <w:b/>
        </w:rPr>
      </w:r>
    </w:p>
    <w:p>
      <w:pPr>
        <w:pStyle w:val="Heading2"/>
        <w:numPr>
          <w:ilvl w:val="0"/>
          <w:numId w:val="8"/>
        </w:numPr>
        <w:jc w:val="center"/>
        <w:rPr/>
      </w:pPr>
      <w:bookmarkStart w:id="52" w:name="_Toc194314076"/>
      <w:r>
        <w:rPr/>
        <w:t>Определение размера мужской спецодежды</w:t>
      </w:r>
      <w:bookmarkEnd w:id="52"/>
    </w:p>
    <w:tbl>
      <w:tblPr>
        <w:tblW w:w="9750" w:type="dxa"/>
        <w:jc w:val="center"/>
        <w:tblInd w:w="0" w:type="dxa"/>
        <w:tblLayout w:type="fixed"/>
        <w:tblCellMar>
          <w:top w:w="15" w:type="dxa"/>
          <w:left w:w="22" w:type="dxa"/>
          <w:bottom w:w="15" w:type="dxa"/>
          <w:right w:w="22" w:type="dxa"/>
        </w:tblCellMar>
        <w:tblLook w:noVBand="1" w:val="04a0" w:noHBand="0" w:lastColumn="0" w:firstColumn="1" w:lastRow="0" w:firstRow="1"/>
      </w:tblPr>
      <w:tblGrid>
        <w:gridCol w:w="4290"/>
        <w:gridCol w:w="5459"/>
      </w:tblGrid>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 </w:t>
            </w:r>
            <w:r>
              <w:rPr>
                <w:rStyle w:val="Strong"/>
                <w:color w:val="666666"/>
                <w:sz w:val="21"/>
                <w:szCs w:val="21"/>
                <w:shd w:fill="FFFFFF" w:val="clear"/>
              </w:rPr>
              <w:t>Маркировка размера на изделии</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Соответствие обхвату груди человека в см</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88 – 92</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86,0 до 93,9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96 – 100</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94,0 до 101,9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104 – 108</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102,0 до 109,9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112 – 116</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110,0 до 117,9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120 – 124</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118,0 до 123,9</w:t>
            </w:r>
          </w:p>
        </w:tc>
      </w:tr>
      <w:tr>
        <w:trPr/>
        <w:tc>
          <w:tcPr>
            <w:tcW w:w="429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128 – 132</w:t>
            </w:r>
          </w:p>
        </w:tc>
        <w:tc>
          <w:tcPr>
            <w:tcW w:w="545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126,0 до 133,9</w:t>
            </w:r>
          </w:p>
        </w:tc>
      </w:tr>
    </w:tbl>
    <w:p>
      <w:pPr>
        <w:pStyle w:val="Normal"/>
        <w:rPr>
          <w:color w:val="384E5E"/>
          <w:sz w:val="21"/>
          <w:szCs w:val="21"/>
        </w:rPr>
      </w:pPr>
      <w:r>
        <w:rPr>
          <w:color w:val="384E5E"/>
          <w:sz w:val="21"/>
          <w:szCs w:val="21"/>
        </w:rPr>
      </w:r>
    </w:p>
    <w:tbl>
      <w:tblPr>
        <w:tblW w:w="9750" w:type="dxa"/>
        <w:jc w:val="center"/>
        <w:tblInd w:w="0" w:type="dxa"/>
        <w:tblLayout w:type="fixed"/>
        <w:tblCellMar>
          <w:top w:w="15" w:type="dxa"/>
          <w:left w:w="22" w:type="dxa"/>
          <w:bottom w:w="15" w:type="dxa"/>
          <w:right w:w="22" w:type="dxa"/>
        </w:tblCellMar>
        <w:tblLook w:noVBand="1" w:val="04a0" w:noHBand="0" w:lastColumn="0" w:firstColumn="1" w:lastRow="0" w:firstRow="1"/>
      </w:tblPr>
      <w:tblGrid>
        <w:gridCol w:w="4299"/>
        <w:gridCol w:w="5450"/>
      </w:tblGrid>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Маркировка роста на изделии</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rStyle w:val="Strong"/>
                <w:color w:val="666666"/>
                <w:sz w:val="21"/>
                <w:szCs w:val="21"/>
                <w:shd w:fill="FFFFFF" w:val="clear"/>
              </w:rPr>
              <w:t> </w:t>
            </w:r>
            <w:r>
              <w:rPr>
                <w:rStyle w:val="Strong"/>
                <w:color w:val="666666"/>
                <w:sz w:val="21"/>
                <w:szCs w:val="21"/>
                <w:shd w:fill="FFFFFF" w:val="clear"/>
              </w:rPr>
              <w:t>Соответствующий рост человека в см</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158 – 164</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155,0 до 166,9</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170 – 176</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167,0 до 178,9</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182 – 188</w:t>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179,0 до 191,0</w:t>
            </w:r>
          </w:p>
        </w:tc>
      </w:tr>
      <w:tr>
        <w:trPr/>
        <w:tc>
          <w:tcPr>
            <w:tcW w:w="4299"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lang w:val="en-US"/>
              </w:rPr>
              <w:t xml:space="preserve">      </w:t>
            </w:r>
            <w:r>
              <w:rPr>
                <w:color w:val="384E5E"/>
                <w:sz w:val="21"/>
                <w:szCs w:val="21"/>
                <w:shd w:fill="FFFFFF" w:val="clear"/>
              </w:rPr>
              <w:t>194 – 200</w:t>
              <w:tab/>
            </w:r>
          </w:p>
        </w:tc>
        <w:tc>
          <w:tcPr>
            <w:tcW w:w="5450" w:type="dxa"/>
            <w:tcBorders>
              <w:top w:val="outset" w:sz="6" w:space="0" w:color="000000"/>
              <w:left w:val="outset" w:sz="6" w:space="0" w:color="000000"/>
              <w:bottom w:val="outset" w:sz="6" w:space="0" w:color="000000"/>
              <w:right w:val="outset" w:sz="6" w:space="0" w:color="000000"/>
            </w:tcBorders>
          </w:tcPr>
          <w:p>
            <w:pPr>
              <w:pStyle w:val="Normal"/>
              <w:widowControl w:val="false"/>
              <w:jc w:val="center"/>
              <w:rPr/>
            </w:pPr>
            <w:r>
              <w:rPr>
                <w:color w:val="384E5E"/>
                <w:sz w:val="21"/>
                <w:szCs w:val="21"/>
                <w:shd w:fill="FFFFFF" w:val="clear"/>
              </w:rPr>
              <w:t>от 191,0 до 203,0</w:t>
            </w:r>
          </w:p>
        </w:tc>
      </w:tr>
    </w:tbl>
    <w:p>
      <w:pPr>
        <w:pStyle w:val="Normal"/>
        <w:rPr/>
      </w:pPr>
      <w:r>
        <w:rPr/>
      </w:r>
    </w:p>
    <w:p>
      <w:pPr>
        <w:pStyle w:val="Normal"/>
        <w:rPr/>
      </w:pPr>
      <w:r>
        <mc:AlternateContent>
          <mc:Choice Requires="wps">
            <w:drawing>
              <wp:anchor behindDoc="0" distT="5715" distB="5080" distL="5715" distR="5080" simplePos="0" locked="0" layoutInCell="0" allowOverlap="1" relativeHeight="9" wp14:anchorId="29ECF54E">
                <wp:simplePos x="0" y="0"/>
                <wp:positionH relativeFrom="column">
                  <wp:posOffset>2061210</wp:posOffset>
                </wp:positionH>
                <wp:positionV relativeFrom="paragraph">
                  <wp:posOffset>182880</wp:posOffset>
                </wp:positionV>
                <wp:extent cx="1533525" cy="635"/>
                <wp:effectExtent l="5715" t="5715" r="5080" b="5080"/>
                <wp:wrapNone/>
                <wp:docPr id="14" name=" 36"/>
                <a:graphic xmlns:a="http://schemas.openxmlformats.org/drawingml/2006/main">
                  <a:graphicData uri="http://schemas.microsoft.com/office/word/2010/wordprocessingShape">
                    <wps:wsp>
                      <wps:cNvSpPr/>
                      <wps:spPr>
                        <a:xfrm>
                          <a:off x="0" y="0"/>
                          <a:ext cx="1533600" cy="720"/>
                        </a:xfrm>
                        <a:prstGeom prst="straightConnector1">
                          <a:avLst/>
                        </a:prstGeom>
                        <a:noFill/>
                        <a:ln w="9525">
                          <a:solidFill>
                            <a:srgbClr val="000000"/>
                          </a:solidFill>
                          <a:round/>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 36" path="m0,0l-2147483648,-2147483647e" stroked="t" o:allowincell="f" style="position:absolute;margin-left:162.3pt;margin-top:14.4pt;width:120.7pt;height:0pt;mso-wrap-style:none;v-text-anchor:middle" wp14:anchorId="29ECF54E" type="_x0000_t32">
                <v:fill o:detectmouseclick="t" on="false"/>
                <v:stroke color="black" weight="9360" joinstyle="round" endcap="flat"/>
                <w10:wrap type="none"/>
              </v:shape>
            </w:pict>
          </mc:Fallback>
        </mc:AlternateContent>
        <mc:AlternateContent>
          <mc:Choice Requires="wps">
            <w:drawing>
              <wp:anchor behindDoc="0" distT="0" distB="635" distL="36830" distR="37465" simplePos="0" locked="0" layoutInCell="0" allowOverlap="1" relativeHeight="10" wp14:anchorId="0D1401FF">
                <wp:simplePos x="0" y="0"/>
                <wp:positionH relativeFrom="column">
                  <wp:posOffset>3584575</wp:posOffset>
                </wp:positionH>
                <wp:positionV relativeFrom="paragraph">
                  <wp:posOffset>175260</wp:posOffset>
                </wp:positionV>
                <wp:extent cx="45720" cy="2457450"/>
                <wp:effectExtent l="36830" t="0" r="37465" b="635"/>
                <wp:wrapNone/>
                <wp:docPr id="15" name=" 38"/>
                <a:graphic xmlns:a="http://schemas.openxmlformats.org/drawingml/2006/main">
                  <a:graphicData uri="http://schemas.microsoft.com/office/word/2010/wordprocessingShape">
                    <wps:wsp>
                      <wps:cNvSpPr/>
                      <wps:spPr>
                        <a:xfrm>
                          <a:off x="0" y="0"/>
                          <a:ext cx="45720" cy="2457360"/>
                        </a:xfrm>
                        <a:prstGeom prst="straightConnector1">
                          <a:avLst/>
                        </a:prstGeom>
                        <a:noFill/>
                        <a:ln w="9525">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v:shape id="shape_0" ID=" 38" path="m0,0l-2147483648,-2147483647e" stroked="t" o:allowincell="f" style="position:absolute;margin-left:282.25pt;margin-top:13.8pt;width:3.55pt;height:193.45pt;mso-wrap-style:none;v-text-anchor:middle" wp14:anchorId="0D1401FF" type="_x0000_t32">
                <v:fill o:detectmouseclick="t" on="false"/>
                <v:stroke color="black" weight="9360" startarrow="block" endarrow="block" startarrowwidth="medium" startarrowlength="medium" endarrowwidth="medium" endarrowlength="medium" joinstyle="round" endcap="flat"/>
                <w10:wrap type="none"/>
              </v:shape>
            </w:pict>
          </mc:Fallback>
        </mc:AlternateContent>
        <mc:AlternateContent>
          <mc:Choice Requires="wps">
            <w:drawing>
              <wp:anchor behindDoc="0" distT="5715" distB="5080" distL="5715" distR="5080" simplePos="0" locked="0" layoutInCell="0" allowOverlap="1" relativeHeight="11" wp14:anchorId="5F600D2D">
                <wp:simplePos x="0" y="0"/>
                <wp:positionH relativeFrom="column">
                  <wp:posOffset>2101215</wp:posOffset>
                </wp:positionH>
                <wp:positionV relativeFrom="paragraph">
                  <wp:posOffset>2637155</wp:posOffset>
                </wp:positionV>
                <wp:extent cx="1533525" cy="635"/>
                <wp:effectExtent l="5715" t="5715" r="5080" b="5080"/>
                <wp:wrapNone/>
                <wp:docPr id="16" name=" 36"/>
                <a:graphic xmlns:a="http://schemas.openxmlformats.org/drawingml/2006/main">
                  <a:graphicData uri="http://schemas.microsoft.com/office/word/2010/wordprocessingShape">
                    <wps:wsp>
                      <wps:cNvSpPr/>
                      <wps:spPr>
                        <a:xfrm>
                          <a:off x="0" y="0"/>
                          <a:ext cx="1533600" cy="720"/>
                        </a:xfrm>
                        <a:prstGeom prst="straightConnector1">
                          <a:avLst/>
                        </a:prstGeom>
                        <a:noFill/>
                        <a:ln w="9525">
                          <a:solidFill>
                            <a:srgbClr val="000000"/>
                          </a:solidFill>
                          <a:round/>
                        </a:ln>
                      </wps:spPr>
                      <wps:style>
                        <a:lnRef idx="0"/>
                        <a:fillRef idx="0"/>
                        <a:effectRef idx="0"/>
                        <a:fontRef idx="minor"/>
                      </wps:style>
                      <wps:bodyPr/>
                    </wps:wsp>
                  </a:graphicData>
                </a:graphic>
              </wp:anchor>
            </w:drawing>
          </mc:Choice>
          <mc:Fallback>
            <w:pict>
              <v:shape id="shape_0" ID=" 36" path="m0,0l-2147483648,-2147483647e" stroked="t" o:allowincell="f" style="position:absolute;margin-left:165.45pt;margin-top:207.65pt;width:120.7pt;height:0pt;mso-wrap-style:none;v-text-anchor:middle" wp14:anchorId="5F600D2D" type="_x0000_t32">
                <v:fill o:detectmouseclick="t" on="false"/>
                <v:stroke color="black" weight="9360" joinstyle="round" endcap="flat"/>
                <w10:wrap type="none"/>
              </v:shape>
            </w:pict>
          </mc:Fallback>
        </mc:AlternateContent>
      </w:r>
      <w:r>
        <w:rPr/>
        <w:drawing>
          <wp:inline distT="0" distB="0" distL="0" distR="0">
            <wp:extent cx="2209800" cy="2744470"/>
            <wp:effectExtent l="0" t="0" r="0" b="0"/>
            <wp:docPr id="17" name="Изображение2" descr="Размеры спецодеж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2" descr="Размеры спецодежды"/>
                    <pic:cNvPicPr>
                      <a:picLocks noChangeAspect="1" noChangeArrowheads="1"/>
                    </pic:cNvPicPr>
                  </pic:nvPicPr>
                  <pic:blipFill>
                    <a:blip r:embed="rId18"/>
                    <a:stretch>
                      <a:fillRect/>
                    </a:stretch>
                  </pic:blipFill>
                  <pic:spPr bwMode="auto">
                    <a:xfrm>
                      <a:off x="0" y="0"/>
                      <a:ext cx="2209800" cy="2744470"/>
                    </a:xfrm>
                    <a:prstGeom prst="rect">
                      <a:avLst/>
                    </a:prstGeom>
                  </pic:spPr>
                </pic:pic>
              </a:graphicData>
            </a:graphic>
          </wp:inline>
        </w:drawing>
      </w:r>
      <w:r>
        <w:rPr/>
        <w:t xml:space="preserve"> </w:t>
      </w:r>
      <w:r>
        <w:rPr/>
        <w:t>Рост</w:t>
      </w:r>
    </w:p>
    <w:p>
      <w:pPr>
        <w:pStyle w:val="Normal"/>
        <w:rPr/>
      </w:pPr>
      <w:r>
        <w:rPr/>
      </w:r>
    </w:p>
    <w:sectPr>
      <w:headerReference w:type="default" r:id="rId19"/>
      <w:headerReference w:type="first" r:id="rId20"/>
      <w:type w:val="nextPage"/>
      <w:pgSz w:w="11906" w:h="16838"/>
      <w:pgMar w:left="1134" w:right="851" w:gutter="0" w:header="680" w:top="1134" w:footer="0" w:bottom="992"/>
      <w:pgNumType w:fmt="decimal"/>
      <w:formProt w:val="false"/>
      <w:titlePg/>
      <w:textDirection w:val="lrTb"/>
      <w:docGrid w:type="default" w:linePitch="381"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Cambria">
    <w:charset w:val="01"/>
    <w:family w:val="roman"/>
    <w:pitch w:val="variable"/>
  </w:font>
  <w:font w:name="Arial">
    <w:charset w:val="01"/>
    <w:family w:val="roman"/>
    <w:pitch w:val="variable"/>
  </w:font>
  <w:font w:name="Calibri">
    <w:charset w:val="01"/>
    <w:family w:val="roman"/>
    <w:pitch w:val="variable"/>
  </w:font>
  <w:font w:name="Liberation Sans">
    <w:altName w:val="Arial"/>
    <w:charset w:val="01"/>
    <w:family w:val="roman"/>
    <w:pitch w:val="variable"/>
  </w:font>
  <w:font w:name="Tahoma">
    <w:charset w:val="01"/>
    <w:family w:val="roman"/>
    <w:pitch w:val="variable"/>
  </w:font>
  <w:font w:name="Arial Unicode MS">
    <w:charset w:val="01"/>
    <w:family w:val="roman"/>
    <w:pitch w:val="variable"/>
  </w:font>
  <w:font w:name="Verdana">
    <w:charset w:val="01"/>
    <w:family w:val="roman"/>
    <w:pitch w:val="variable"/>
  </w:font>
  <w:font w:name="Garamond">
    <w:charset w:val="01"/>
    <w:family w:val="roman"/>
    <w:pitch w:val="variable"/>
  </w:font>
  <w:font w:name="Courier New">
    <w:charset w:val="01"/>
    <w:family w:val="modern"/>
    <w:pitch w:val="fixed"/>
  </w:font>
  <w:font w:name="Wingdings">
    <w:charset w:val="02"/>
    <w:family w:val="auto"/>
    <w:pitch w:val="default"/>
  </w:font>
  <w:font w:name="Symbol">
    <w:charset w:val="02"/>
    <w:family w:val="auto"/>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mc:AlternateContent>
        <mc:Choice Requires="wps">
          <w:drawing>
            <wp:anchor behindDoc="1" distT="0" distB="0" distL="0" distR="0" simplePos="0" locked="0" layoutInCell="0" allowOverlap="1" relativeHeight="8">
              <wp:simplePos x="0" y="0"/>
              <wp:positionH relativeFrom="margin">
                <wp:align>center</wp:align>
              </wp:positionH>
              <wp:positionV relativeFrom="paragraph">
                <wp:posOffset>635</wp:posOffset>
              </wp:positionV>
              <wp:extent cx="14605" cy="14605"/>
              <wp:effectExtent l="0" t="0" r="0" b="0"/>
              <wp:wrapSquare wrapText="bothSides"/>
              <wp:docPr id="1" name="Врезка1"/>
              <a:graphic xmlns:a="http://schemas.openxmlformats.org/drawingml/2006/main">
                <a:graphicData uri="http://schemas.microsoft.com/office/word/2010/wordprocessingShape">
                  <wps:wsp>
                    <wps:cNvSpPr/>
                    <wps:spPr>
                      <a:xfrm>
                        <a:off x="0" y="0"/>
                        <a:ext cx="14760" cy="14760"/>
                      </a:xfrm>
                      <a:prstGeom prst="rect">
                        <a:avLst/>
                      </a:prstGeom>
                      <a:noFill/>
                      <a:ln w="0">
                        <a:noFill/>
                      </a:ln>
                    </wps:spPr>
                    <wps:style>
                      <a:lnRef idx="0"/>
                      <a:fillRef idx="0"/>
                      <a:effectRef idx="0"/>
                      <a:fontRef idx="minor"/>
                    </wps:style>
                    <wps:txbx>
                      <w:txbxContent>
                        <w:p>
                          <w:pPr>
                            <w:pStyle w:val="Header"/>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wps:txbx>
                    <wps:bodyPr lIns="0" rIns="0" tIns="0" bIns="0" anchor="t">
                      <a:spAutoFit/>
                    </wps:bodyPr>
                  </wps:wsp>
                </a:graphicData>
              </a:graphic>
            </wp:anchor>
          </w:drawing>
        </mc:Choice>
        <mc:Fallback>
          <w:pict>
            <v:rect id="shape_0" ID="Врезка1" path="m0,0l-2147483645,0l-2147483645,-2147483646l0,-2147483646xe" stroked="f" o:allowincell="f" style="position:absolute;margin-left:0pt;margin-top:0.05pt;width:1.1pt;height:1.1pt;mso-wrap-style:square;v-text-anchor:top;mso-position-horizontal:center;mso-position-horizontal-relative:margin">
              <v:fill o:detectmouseclick="t" on="false"/>
              <v:stroke color="#3465a4" joinstyle="round" endcap="flat"/>
              <v:textbox>
                <w:txbxContent>
                  <w:p>
                    <w:pPr>
                      <w:pStyle w:val="Header"/>
                      <w:rPr>
                        <w:rStyle w:val="Pagenumber"/>
                      </w:rPr>
                    </w:pPr>
                    <w:r>
                      <w:rPr>
                        <w:rStyle w:val="Pagenumber"/>
                        <w:color w:val="000000"/>
                      </w:rPr>
                      <w:fldChar w:fldCharType="begin"/>
                    </w:r>
                    <w:r>
                      <w:rPr>
                        <w:rStyle w:val="Pagenumber"/>
                        <w:color w:val="000000"/>
                      </w:rPr>
                      <w:instrText xml:space="preserve"> PAGE </w:instrText>
                    </w:r>
                    <w:r>
                      <w:rPr>
                        <w:rStyle w:val="Pagenumber"/>
                        <w:color w:val="000000"/>
                      </w:rPr>
                      <w:fldChar w:fldCharType="separate"/>
                    </w:r>
                    <w:r>
                      <w:rPr>
                        <w:rStyle w:val="Pagenumber"/>
                        <w:color w:val="000000"/>
                      </w:rPr>
                      <w:t>0</w:t>
                    </w:r>
                    <w:r>
                      <w:rPr>
                        <w:rStyle w:val="Pagenumber"/>
                        <w:color w:val="000000"/>
                      </w:rPr>
                      <w:fldChar w:fldCharType="end"/>
                    </w:r>
                  </w:p>
                </w:txbxContent>
              </v:textbox>
              <w10:wrap type="square"/>
            </v:rect>
          </w:pict>
        </mc:Fallback>
      </mc:AlternateConten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2</w:t>
    </w:r>
    <w:r>
      <w:rPr/>
      <w:fldChar w:fldCharType="end"/>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8</w:t>
    </w:r>
    <w:r>
      <w:rPr/>
      <w:fldChar w:fldCharType="end"/>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fldChar w:fldCharType="begin"/>
    </w:r>
    <w:r>
      <w:rPr/>
      <w:instrText xml:space="preserve"> PAGE </w:instrText>
    </w:r>
    <w:r>
      <w:rPr/>
      <w:fldChar w:fldCharType="separate"/>
    </w:r>
    <w:r>
      <w:rPr/>
      <w:t>25</w:t>
    </w:r>
    <w:r>
      <w:rPr/>
      <w:fldChar w:fldCharType="end"/>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jc w:val="cent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360"/>
        </w:tabs>
        <w:ind w:left="360" w:hanging="360"/>
      </w:pPr>
      <w:rPr/>
    </w:lvl>
    <w:lvl w:ilvl="1">
      <w:start w:val="1"/>
      <w:numFmt w:val="decimal"/>
      <w:lvlText w:val="%1.%2."/>
      <w:lvlJc w:val="left"/>
      <w:pPr>
        <w:tabs>
          <w:tab w:val="num" w:pos="357"/>
        </w:tabs>
        <w:ind w:left="0" w:hanging="0"/>
      </w:pPr>
      <w:rPr/>
    </w:lvl>
    <w:lvl w:ilvl="2">
      <w:start w:val="1"/>
      <w:numFmt w:val="decimal"/>
      <w:lvlText w:val="%1.%2.%3."/>
      <w:lvlJc w:val="left"/>
      <w:pPr>
        <w:tabs>
          <w:tab w:val="num" w:pos="357"/>
        </w:tabs>
        <w:ind w:left="0" w:hanging="0"/>
      </w:pPr>
      <w:rPr/>
    </w:lvl>
    <w:lvl w:ilvl="3">
      <w:start w:val="1"/>
      <w:numFmt w:val="decimal"/>
      <w:lvlText w:val="%1.%2.%3.%4."/>
      <w:lvlJc w:val="left"/>
      <w:pPr>
        <w:tabs>
          <w:tab w:val="num" w:pos="357"/>
        </w:tabs>
        <w:ind w:left="0" w:hanging="0"/>
      </w:pPr>
      <w:rPr/>
    </w:lvl>
    <w:lvl w:ilvl="4">
      <w:start w:val="1"/>
      <w:numFmt w:val="decimal"/>
      <w:lvlText w:val="%1.%2.%3.%4.%5."/>
      <w:lvlJc w:val="left"/>
      <w:pPr>
        <w:tabs>
          <w:tab w:val="num" w:pos="2520"/>
        </w:tabs>
        <w:ind w:left="0" w:hanging="0"/>
      </w:pPr>
      <w:rPr/>
    </w:lvl>
    <w:lvl w:ilvl="5">
      <w:start w:val="1"/>
      <w:numFmt w:val="decimal"/>
      <w:lvlText w:val="%1.%2.%3.%4.%5.%6."/>
      <w:lvlJc w:val="left"/>
      <w:pPr>
        <w:tabs>
          <w:tab w:val="num" w:pos="357"/>
        </w:tabs>
        <w:ind w:left="0" w:hanging="0"/>
      </w:pPr>
      <w:rPr/>
    </w:lvl>
    <w:lvl w:ilvl="6">
      <w:start w:val="1"/>
      <w:numFmt w:val="decimal"/>
      <w:lvlText w:val="%1.%2.%3.%4.%5.%6.%7."/>
      <w:lvlJc w:val="left"/>
      <w:pPr>
        <w:tabs>
          <w:tab w:val="num" w:pos="357"/>
        </w:tabs>
        <w:ind w:left="0" w:hanging="0"/>
      </w:pPr>
      <w:rPr/>
    </w:lvl>
    <w:lvl w:ilvl="7">
      <w:start w:val="1"/>
      <w:numFmt w:val="decimal"/>
      <w:lvlText w:val="%1.%2.%3.%4.%5.%6.%7.%8."/>
      <w:lvlJc w:val="left"/>
      <w:pPr>
        <w:tabs>
          <w:tab w:val="num" w:pos="357"/>
        </w:tabs>
        <w:ind w:left="0" w:hanging="0"/>
      </w:pPr>
      <w:rPr/>
    </w:lvl>
    <w:lvl w:ilvl="8">
      <w:start w:val="1"/>
      <w:numFmt w:val="decimal"/>
      <w:lvlText w:val="%1.%2.%3.%4.%5.%6.%7.%8.%9."/>
      <w:lvlJc w:val="left"/>
      <w:pPr>
        <w:tabs>
          <w:tab w:val="num" w:pos="357"/>
        </w:tabs>
        <w:ind w:left="0" w:hanging="0"/>
      </w:pPr>
      <w:rPr/>
    </w:lvl>
  </w:abstractNum>
  <w:abstractNum w:abstractNumId="2">
    <w:lvl w:ilvl="0">
      <w:start w:val="4"/>
      <w:numFmt w:val="bullet"/>
      <w:lvlText w:val="-"/>
      <w:lvlJc w:val="left"/>
      <w:pPr>
        <w:tabs>
          <w:tab w:val="num" w:pos="0"/>
        </w:tabs>
        <w:ind w:left="-207" w:hanging="360"/>
      </w:pPr>
      <w:rPr>
        <w:rFonts w:ascii="Times New Roman" w:hAnsi="Times New Roman" w:cs="Times New Roman" w:hint="default"/>
      </w:rPr>
    </w:lvl>
    <w:lvl w:ilvl="1">
      <w:start w:val="1"/>
      <w:numFmt w:val="bullet"/>
      <w:lvlText w:val="o"/>
      <w:lvlJc w:val="left"/>
      <w:pPr>
        <w:tabs>
          <w:tab w:val="num" w:pos="513"/>
        </w:tabs>
        <w:ind w:left="513" w:hanging="360"/>
      </w:pPr>
      <w:rPr>
        <w:rFonts w:ascii="Courier New" w:hAnsi="Courier New" w:cs="Courier New" w:hint="default"/>
      </w:rPr>
    </w:lvl>
    <w:lvl w:ilvl="2">
      <w:start w:val="1"/>
      <w:numFmt w:val="bullet"/>
      <w:lvlText w:val=""/>
      <w:lvlJc w:val="left"/>
      <w:pPr>
        <w:tabs>
          <w:tab w:val="num" w:pos="1233"/>
        </w:tabs>
        <w:ind w:left="1233" w:hanging="360"/>
      </w:pPr>
      <w:rPr>
        <w:rFonts w:ascii="Wingdings" w:hAnsi="Wingdings" w:cs="Wingdings" w:hint="default"/>
      </w:rPr>
    </w:lvl>
    <w:lvl w:ilvl="3">
      <w:start w:val="1"/>
      <w:numFmt w:val="bullet"/>
      <w:lvlText w:val=""/>
      <w:lvlJc w:val="left"/>
      <w:pPr>
        <w:tabs>
          <w:tab w:val="num" w:pos="1953"/>
        </w:tabs>
        <w:ind w:left="1953" w:hanging="360"/>
      </w:pPr>
      <w:rPr>
        <w:rFonts w:ascii="Symbol" w:hAnsi="Symbol" w:cs="Symbol" w:hint="default"/>
      </w:rPr>
    </w:lvl>
    <w:lvl w:ilvl="4">
      <w:start w:val="1"/>
      <w:numFmt w:val="bullet"/>
      <w:lvlText w:val="o"/>
      <w:lvlJc w:val="left"/>
      <w:pPr>
        <w:tabs>
          <w:tab w:val="num" w:pos="2673"/>
        </w:tabs>
        <w:ind w:left="2673" w:hanging="360"/>
      </w:pPr>
      <w:rPr>
        <w:rFonts w:ascii="Courier New" w:hAnsi="Courier New" w:cs="Courier New" w:hint="default"/>
      </w:rPr>
    </w:lvl>
    <w:lvl w:ilvl="5">
      <w:start w:val="1"/>
      <w:numFmt w:val="bullet"/>
      <w:lvlText w:val=""/>
      <w:lvlJc w:val="left"/>
      <w:pPr>
        <w:tabs>
          <w:tab w:val="num" w:pos="3393"/>
        </w:tabs>
        <w:ind w:left="3393" w:hanging="360"/>
      </w:pPr>
      <w:rPr>
        <w:rFonts w:ascii="Wingdings" w:hAnsi="Wingdings" w:cs="Wingdings" w:hint="default"/>
      </w:rPr>
    </w:lvl>
    <w:lvl w:ilvl="6">
      <w:start w:val="1"/>
      <w:numFmt w:val="bullet"/>
      <w:lvlText w:val=""/>
      <w:lvlJc w:val="left"/>
      <w:pPr>
        <w:tabs>
          <w:tab w:val="num" w:pos="4113"/>
        </w:tabs>
        <w:ind w:left="4113" w:hanging="360"/>
      </w:pPr>
      <w:rPr>
        <w:rFonts w:ascii="Symbol" w:hAnsi="Symbol" w:cs="Symbol" w:hint="default"/>
      </w:rPr>
    </w:lvl>
    <w:lvl w:ilvl="7">
      <w:start w:val="1"/>
      <w:numFmt w:val="bullet"/>
      <w:lvlText w:val="o"/>
      <w:lvlJc w:val="left"/>
      <w:pPr>
        <w:tabs>
          <w:tab w:val="num" w:pos="4833"/>
        </w:tabs>
        <w:ind w:left="4833" w:hanging="360"/>
      </w:pPr>
      <w:rPr>
        <w:rFonts w:ascii="Courier New" w:hAnsi="Courier New" w:cs="Courier New" w:hint="default"/>
      </w:rPr>
    </w:lvl>
    <w:lvl w:ilvl="8">
      <w:start w:val="1"/>
      <w:numFmt w:val="bullet"/>
      <w:lvlText w:val=""/>
      <w:lvlJc w:val="left"/>
      <w:pPr>
        <w:tabs>
          <w:tab w:val="num" w:pos="5553"/>
        </w:tabs>
        <w:ind w:left="5553" w:hanging="360"/>
      </w:pPr>
      <w:rPr>
        <w:rFonts w:ascii="Wingdings" w:hAnsi="Wingdings" w:cs="Wingdings" w:hint="default"/>
      </w:rPr>
    </w:lvl>
  </w:abstractNum>
  <w:abstractNum w:abstractNumId="3">
    <w:lvl w:ilvl="0">
      <w:start w:val="1"/>
      <w:numFmt w:val="decimal"/>
      <w:lvlText w:val="%1."/>
      <w:lvlJc w:val="left"/>
      <w:pPr>
        <w:tabs>
          <w:tab w:val="num" w:pos="0"/>
        </w:tabs>
        <w:ind w:left="5038" w:hanging="360"/>
      </w:pPr>
      <w:rPr>
        <w:smallCaps w:val="false"/>
        <w:caps w:val="false"/>
        <w:dstrike w:val="false"/>
        <w:strike w:val="false"/>
        <w:vertAlign w:val="baseline"/>
        <w:position w:val="0"/>
        <w:sz w:val="28"/>
        <w:sz w:val="28"/>
        <w:spacing w:val="0"/>
        <w:i w:val="false"/>
        <w:u w:val="none"/>
        <w:b/>
        <w:kern w:val="0"/>
        <w:effect w:val="none"/>
        <w:szCs w:val="28"/>
        <w:iCs w:val="false"/>
        <w:bCs w:val="false"/>
        <w:em w:val="none"/>
        <w:vanish w:val="false"/>
        <w:rFonts w:ascii="Times New Roman" w:hAnsi="Times New Roman" w:cs="Times New Roman"/>
        <w:color w:val="00000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2843" w:hanging="432"/>
      </w:pPr>
      <w:rPr>
        <w:sz w:val="24"/>
        <w:i w:val="false"/>
        <w:b/>
        <w:szCs w:val="24"/>
        <w:iCs/>
        <w:bCs/>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4">
    <w:lvl w:ilvl="0">
      <w:start w:val="1"/>
      <w:numFmt w:val="decimal"/>
      <w:lvlText w:val="%1."/>
      <w:lvlJc w:val="left"/>
      <w:pPr>
        <w:tabs>
          <w:tab w:val="num" w:pos="0"/>
        </w:tabs>
        <w:ind w:left="1134" w:hanging="1134"/>
      </w:pPr>
      <w:rPr/>
    </w:lvl>
    <w:lvl w:ilvl="1">
      <w:start w:val="1"/>
      <w:numFmt w:val="decimal"/>
      <w:lvlText w:val="%1.%2."/>
      <w:lvlJc w:val="left"/>
      <w:pPr>
        <w:tabs>
          <w:tab w:val="num" w:pos="0"/>
        </w:tabs>
        <w:ind w:left="1134" w:hanging="1134"/>
      </w:pPr>
      <w:rPr/>
    </w:lvl>
    <w:lvl w:ilvl="2">
      <w:start w:val="1"/>
      <w:numFmt w:val="decimal"/>
      <w:lvlText w:val="%1.%2.%3."/>
      <w:lvlJc w:val="left"/>
      <w:pPr>
        <w:tabs>
          <w:tab w:val="num" w:pos="0"/>
        </w:tabs>
        <w:ind w:left="1134" w:hanging="1134"/>
      </w:pPr>
      <w:rPr/>
    </w:lvl>
    <w:lvl w:ilvl="3">
      <w:start w:val="1"/>
      <w:numFmt w:val="russianLower"/>
      <w:lvlText w:val="(%4)"/>
      <w:lvlJc w:val="left"/>
      <w:pPr>
        <w:tabs>
          <w:tab w:val="num" w:pos="0"/>
        </w:tabs>
        <w:ind w:left="1985" w:hanging="567"/>
      </w:pPr>
      <w:rPr/>
    </w:lvl>
    <w:lvl w:ilvl="4">
      <w:start w:val="1"/>
      <w:numFmt w:val="bullet"/>
      <w:lvlText w:val="–"/>
      <w:lvlJc w:val="left"/>
      <w:pPr>
        <w:tabs>
          <w:tab w:val="num" w:pos="0"/>
        </w:tabs>
        <w:ind w:left="2268" w:hanging="567"/>
      </w:pPr>
      <w:rPr>
        <w:rFonts w:ascii="Times New Roman" w:hAnsi="Times New Roman" w:cs="Times New Roman" w:hint="default"/>
      </w:rPr>
    </w:lvl>
    <w:lvl w:ilvl="5">
      <w:start w:val="1"/>
      <w:numFmt w:val="none"/>
      <w:suff w:val="nothing"/>
      <w:lvlText w:val=""/>
      <w:lvlJc w:val="left"/>
      <w:pPr>
        <w:tabs>
          <w:tab w:val="num" w:pos="0"/>
        </w:tabs>
        <w:ind w:left="1134" w:hanging="0"/>
      </w:pPr>
      <w:rPr/>
    </w:lvl>
    <w:lvl w:ilvl="6">
      <w:start w:val="1"/>
      <w:numFmt w:val="none"/>
      <w:suff w:val="nothing"/>
      <w:lvlText w:val=""/>
      <w:lvlJc w:val="left"/>
      <w:pPr>
        <w:tabs>
          <w:tab w:val="num" w:pos="0"/>
        </w:tabs>
        <w:ind w:left="1701"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1134" w:hanging="0"/>
      </w:pPr>
      <w:rPr/>
    </w:lvl>
  </w:abstractNum>
  <w:abstractNum w:abstractNumId="5">
    <w:lvl w:ilvl="0">
      <w:start w:val="1"/>
      <w:numFmt w:val="decimal"/>
      <w:lvlText w:val="1.%1"/>
      <w:lvlJc w:val="left"/>
      <w:pPr>
        <w:tabs>
          <w:tab w:val="num" w:pos="0"/>
        </w:tabs>
        <w:ind w:left="1429" w:hanging="360"/>
      </w:pPr>
      <w:rPr/>
    </w:lvl>
    <w:lvl w:ilvl="1">
      <w:start w:val="1"/>
      <w:numFmt w:val="lowerLetter"/>
      <w:lvlText w:val="%2."/>
      <w:lvlJc w:val="left"/>
      <w:pPr>
        <w:tabs>
          <w:tab w:val="num" w:pos="0"/>
        </w:tabs>
        <w:ind w:left="2149" w:hanging="360"/>
      </w:pPr>
      <w:rPr/>
    </w:lvl>
    <w:lvl w:ilvl="2">
      <w:start w:val="1"/>
      <w:numFmt w:val="lowerRoman"/>
      <w:lvlText w:val="%3."/>
      <w:lvlJc w:val="right"/>
      <w:pPr>
        <w:tabs>
          <w:tab w:val="num" w:pos="0"/>
        </w:tabs>
        <w:ind w:left="2869" w:hanging="180"/>
      </w:pPr>
      <w:rPr/>
    </w:lvl>
    <w:lvl w:ilvl="3">
      <w:start w:val="1"/>
      <w:numFmt w:val="decimal"/>
      <w:lvlText w:val="%4."/>
      <w:lvlJc w:val="left"/>
      <w:pPr>
        <w:tabs>
          <w:tab w:val="num" w:pos="0"/>
        </w:tabs>
        <w:ind w:left="3589" w:hanging="360"/>
      </w:pPr>
      <w:rPr/>
    </w:lvl>
    <w:lvl w:ilvl="4">
      <w:start w:val="1"/>
      <w:numFmt w:val="lowerLetter"/>
      <w:lvlText w:val="%5."/>
      <w:lvlJc w:val="left"/>
      <w:pPr>
        <w:tabs>
          <w:tab w:val="num" w:pos="0"/>
        </w:tabs>
        <w:ind w:left="4309" w:hanging="360"/>
      </w:pPr>
      <w:rPr/>
    </w:lvl>
    <w:lvl w:ilvl="5">
      <w:start w:val="1"/>
      <w:numFmt w:val="lowerRoman"/>
      <w:lvlText w:val="%6."/>
      <w:lvlJc w:val="right"/>
      <w:pPr>
        <w:tabs>
          <w:tab w:val="num" w:pos="0"/>
        </w:tabs>
        <w:ind w:left="5029" w:hanging="180"/>
      </w:pPr>
      <w:rPr/>
    </w:lvl>
    <w:lvl w:ilvl="6">
      <w:start w:val="1"/>
      <w:numFmt w:val="decimal"/>
      <w:lvlText w:val="%7."/>
      <w:lvlJc w:val="left"/>
      <w:pPr>
        <w:tabs>
          <w:tab w:val="num" w:pos="0"/>
        </w:tabs>
        <w:ind w:left="5749" w:hanging="360"/>
      </w:pPr>
      <w:rPr/>
    </w:lvl>
    <w:lvl w:ilvl="7">
      <w:start w:val="1"/>
      <w:numFmt w:val="lowerLetter"/>
      <w:lvlText w:val="%8."/>
      <w:lvlJc w:val="left"/>
      <w:pPr>
        <w:tabs>
          <w:tab w:val="num" w:pos="0"/>
        </w:tabs>
        <w:ind w:left="6469" w:hanging="360"/>
      </w:pPr>
      <w:rPr/>
    </w:lvl>
    <w:lvl w:ilvl="8">
      <w:start w:val="1"/>
      <w:numFmt w:val="lowerRoman"/>
      <w:lvlText w:val="%9."/>
      <w:lvlJc w:val="right"/>
      <w:pPr>
        <w:tabs>
          <w:tab w:val="num" w:pos="0"/>
        </w:tabs>
        <w:ind w:left="7189" w:hanging="180"/>
      </w:pPr>
      <w:rPr/>
    </w:lvl>
  </w:abstractNum>
  <w:abstractNum w:abstractNumId="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decimal"/>
      <w:lvlText w:val="%1."/>
      <w:lvlJc w:val="left"/>
      <w:pPr>
        <w:tabs>
          <w:tab w:val="num" w:pos="0"/>
        </w:tabs>
        <w:ind w:left="928" w:hanging="360"/>
      </w:pPr>
      <w:rPr>
        <w:sz w:val="24"/>
        <w:b/>
        <w:szCs w:val="24"/>
        <w:bCs w:val="false"/>
      </w:rPr>
    </w:lvl>
    <w:lvl w:ilvl="1">
      <w:start w:val="1"/>
      <w:numFmt w:val="decimal"/>
      <w:lvlText w:val="%1.%2."/>
      <w:lvlJc w:val="left"/>
      <w:pPr>
        <w:tabs>
          <w:tab w:val="num" w:pos="0"/>
        </w:tabs>
        <w:ind w:left="1000" w:hanging="432"/>
      </w:pPr>
      <w:rPr>
        <w:sz w:val="24"/>
        <w:b w:val="false"/>
        <w:szCs w:val="24"/>
        <w:bCs/>
      </w:rPr>
    </w:lvl>
    <w:lvl w:ilvl="2">
      <w:start w:val="1"/>
      <w:numFmt w:val="decimal"/>
      <w:lvlText w:val="%1.%2.%3."/>
      <w:lvlJc w:val="left"/>
      <w:pPr>
        <w:tabs>
          <w:tab w:val="num" w:pos="0"/>
        </w:tabs>
        <w:ind w:left="1071" w:hanging="504"/>
      </w:pPr>
      <w:rPr>
        <w:sz w:val="24"/>
        <w:b w:val="false"/>
        <w:szCs w:val="24"/>
        <w:rFonts w:ascii="Times New Roman" w:hAnsi="Times New Roman" w:cs="Times New Roman"/>
        <w:color w:val="000000" w:themeColor="text1"/>
      </w:rPr>
    </w:lvl>
    <w:lvl w:ilvl="3">
      <w:start w:val="1"/>
      <w:numFmt w:val="decimal"/>
      <w:lvlText w:val="%1.%2.%3.%4."/>
      <w:lvlJc w:val="left"/>
      <w:pPr>
        <w:tabs>
          <w:tab w:val="num" w:pos="0"/>
        </w:tabs>
        <w:ind w:left="1728" w:hanging="648"/>
      </w:pPr>
      <w:rPr>
        <w:b w:val="false"/>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1">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2">
    <w:lvl w:ilvl="0">
      <w:start w:val="1"/>
      <w:numFmt w:val="decimal"/>
      <w:lvlText w:val="1.5.5.%1."/>
      <w:lvlJc w:val="left"/>
      <w:pPr>
        <w:tabs>
          <w:tab w:val="num" w:pos="0"/>
        </w:tabs>
        <w:ind w:left="135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3">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5">
    <w:lvl w:ilvl="0">
      <w:start w:val="1"/>
      <w:numFmt w:val="decimal"/>
      <w:lvlText w:val="%1."/>
      <w:lvlJc w:val="left"/>
      <w:pPr>
        <w:tabs>
          <w:tab w:val="num" w:pos="0"/>
        </w:tabs>
        <w:ind w:left="1069" w:hanging="360"/>
      </w:pPr>
      <w:rPr>
        <w:color w:val="000000" w:themeColor="text1"/>
      </w:rPr>
    </w:lvl>
    <w:lvl w:ilvl="1">
      <w:start w:val="1"/>
      <w:numFmt w:val="lowerLetter"/>
      <w:lvlText w:val="%2."/>
      <w:lvlJc w:val="left"/>
      <w:pPr>
        <w:tabs>
          <w:tab w:val="num" w:pos="0"/>
        </w:tabs>
        <w:ind w:left="1789" w:hanging="360"/>
      </w:pPr>
      <w:rPr/>
    </w:lvl>
    <w:lvl w:ilvl="2">
      <w:start w:val="1"/>
      <w:numFmt w:val="lowerRoman"/>
      <w:lvlText w:val="%3."/>
      <w:lvlJc w:val="right"/>
      <w:pPr>
        <w:tabs>
          <w:tab w:val="num" w:pos="0"/>
        </w:tabs>
        <w:ind w:left="2509" w:hanging="180"/>
      </w:pPr>
      <w:rPr/>
    </w:lvl>
    <w:lvl w:ilvl="3">
      <w:start w:val="1"/>
      <w:numFmt w:val="decimal"/>
      <w:lvlText w:val="%4."/>
      <w:lvlJc w:val="left"/>
      <w:pPr>
        <w:tabs>
          <w:tab w:val="num" w:pos="0"/>
        </w:tabs>
        <w:ind w:left="3229" w:hanging="360"/>
      </w:pPr>
      <w:rPr/>
    </w:lvl>
    <w:lvl w:ilvl="4">
      <w:start w:val="1"/>
      <w:numFmt w:val="lowerLetter"/>
      <w:lvlText w:val="%5."/>
      <w:lvlJc w:val="left"/>
      <w:pPr>
        <w:tabs>
          <w:tab w:val="num" w:pos="0"/>
        </w:tabs>
        <w:ind w:left="3949" w:hanging="360"/>
      </w:pPr>
      <w:rPr/>
    </w:lvl>
    <w:lvl w:ilvl="5">
      <w:start w:val="1"/>
      <w:numFmt w:val="lowerRoman"/>
      <w:lvlText w:val="%6."/>
      <w:lvlJc w:val="right"/>
      <w:pPr>
        <w:tabs>
          <w:tab w:val="num" w:pos="0"/>
        </w:tabs>
        <w:ind w:left="4669" w:hanging="180"/>
      </w:pPr>
      <w:rPr/>
    </w:lvl>
    <w:lvl w:ilvl="6">
      <w:start w:val="1"/>
      <w:numFmt w:val="decimal"/>
      <w:lvlText w:val="%7."/>
      <w:lvlJc w:val="left"/>
      <w:pPr>
        <w:tabs>
          <w:tab w:val="num" w:pos="0"/>
        </w:tabs>
        <w:ind w:left="5389" w:hanging="360"/>
      </w:pPr>
      <w:rPr/>
    </w:lvl>
    <w:lvl w:ilvl="7">
      <w:start w:val="1"/>
      <w:numFmt w:val="lowerLetter"/>
      <w:lvlText w:val="%8."/>
      <w:lvlJc w:val="left"/>
      <w:pPr>
        <w:tabs>
          <w:tab w:val="num" w:pos="0"/>
        </w:tabs>
        <w:ind w:left="6109" w:hanging="360"/>
      </w:pPr>
      <w:rPr/>
    </w:lvl>
    <w:lvl w:ilvl="8">
      <w:start w:val="1"/>
      <w:numFmt w:val="lowerRoman"/>
      <w:lvlText w:val="%9."/>
      <w:lvlJc w:val="right"/>
      <w:pPr>
        <w:tabs>
          <w:tab w:val="num" w:pos="0"/>
        </w:tabs>
        <w:ind w:left="6829" w:hanging="180"/>
      </w:pPr>
      <w:rPr/>
    </w:lvl>
  </w:abstractNum>
  <w:abstractNum w:abstractNumId="16">
    <w:lvl w:ilvl="0">
      <w:start w:val="2"/>
      <w:numFmt w:val="decimal"/>
      <w:lvlText w:val="%1."/>
      <w:lvlJc w:val="left"/>
      <w:pPr>
        <w:tabs>
          <w:tab w:val="num" w:pos="0"/>
        </w:tabs>
        <w:ind w:left="540" w:hanging="540"/>
      </w:pPr>
      <w:rPr/>
    </w:lvl>
    <w:lvl w:ilvl="1">
      <w:start w:val="2"/>
      <w:numFmt w:val="decimal"/>
      <w:lvlText w:val="%1.%2."/>
      <w:lvlJc w:val="left"/>
      <w:pPr>
        <w:tabs>
          <w:tab w:val="num" w:pos="0"/>
        </w:tabs>
        <w:ind w:left="900" w:hanging="540"/>
      </w:pPr>
      <w:rPr/>
    </w:lvl>
    <w:lvl w:ilvl="2">
      <w:start w:val="1"/>
      <w:numFmt w:val="decimal"/>
      <w:lvlText w:val="%1.%2.%3."/>
      <w:lvlJc w:val="left"/>
      <w:pPr>
        <w:tabs>
          <w:tab w:val="num" w:pos="0"/>
        </w:tabs>
        <w:ind w:left="1440" w:hanging="720"/>
      </w:pPr>
      <w:rPr/>
    </w:lvl>
    <w:lvl w:ilvl="3">
      <w:start w:val="1"/>
      <w:numFmt w:val="decimal"/>
      <w:lvlText w:val="%1.%2.%3.%4."/>
      <w:lvlJc w:val="left"/>
      <w:pPr>
        <w:tabs>
          <w:tab w:val="num" w:pos="0"/>
        </w:tabs>
        <w:ind w:left="1800" w:hanging="720"/>
      </w:pPr>
      <w:rPr/>
    </w:lvl>
    <w:lvl w:ilvl="4">
      <w:start w:val="1"/>
      <w:numFmt w:val="decimal"/>
      <w:lvlText w:val="%1.%2.%3.%4.%5."/>
      <w:lvlJc w:val="left"/>
      <w:pPr>
        <w:tabs>
          <w:tab w:val="num" w:pos="0"/>
        </w:tabs>
        <w:ind w:left="2520" w:hanging="1080"/>
      </w:pPr>
      <w:rPr/>
    </w:lvl>
    <w:lvl w:ilvl="5">
      <w:start w:val="1"/>
      <w:numFmt w:val="decimal"/>
      <w:lvlText w:val="%1.%2.%3.%4.%5.%6."/>
      <w:lvlJc w:val="left"/>
      <w:pPr>
        <w:tabs>
          <w:tab w:val="num" w:pos="0"/>
        </w:tabs>
        <w:ind w:left="2880" w:hanging="1080"/>
      </w:pPr>
      <w:rPr/>
    </w:lvl>
    <w:lvl w:ilvl="6">
      <w:start w:val="1"/>
      <w:numFmt w:val="decimal"/>
      <w:lvlText w:val="%1.%2.%3.%4.%5.%6.%7."/>
      <w:lvlJc w:val="left"/>
      <w:pPr>
        <w:tabs>
          <w:tab w:val="num" w:pos="0"/>
        </w:tabs>
        <w:ind w:left="3600" w:hanging="1440"/>
      </w:pPr>
      <w:rPr/>
    </w:lvl>
    <w:lvl w:ilvl="7">
      <w:start w:val="1"/>
      <w:numFmt w:val="decimal"/>
      <w:lvlText w:val="%1.%2.%3.%4.%5.%6.%7.%8."/>
      <w:lvlJc w:val="left"/>
      <w:pPr>
        <w:tabs>
          <w:tab w:val="num" w:pos="0"/>
        </w:tabs>
        <w:ind w:left="3960" w:hanging="1440"/>
      </w:pPr>
      <w:rPr/>
    </w:lvl>
    <w:lvl w:ilvl="8">
      <w:start w:val="1"/>
      <w:numFmt w:val="decimal"/>
      <w:lvlText w:val="%1.%2.%3.%4.%5.%6.%7.%8.%9."/>
      <w:lvlJc w:val="left"/>
      <w:pPr>
        <w:tabs>
          <w:tab w:val="num" w:pos="0"/>
        </w:tabs>
        <w:ind w:left="4680" w:hanging="1800"/>
      </w:pPr>
      <w:rPr/>
    </w:lvl>
  </w:abstractNum>
  <w:abstractNum w:abstractNumId="1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w="http://schemas.openxmlformats.org/wordprocessingml/2006/main">
  <w:writeProtection w:cryptProviderType="rsaAES" w:cryptAlgorithmClass="hash" w:cryptAlgorithmType="typeAny" w:cryptAlgorithmSid="14" w:cryptSpinCount="100000" w:hash="U62bWikAcpNtFxlyPo2GNXlbyQnIkx5zGeWnmtaGUFy2Wn2FmF0B4biUsYBGnHshBbZxBOx8VJzUMOwhmoJD6Q==" w:salt="oPT90MHz2DXfp0tqPJAvew=="/>
  <w:zoom w:percent="10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zh-TW"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ru-RU" w:eastAsia="ru-RU" w:bidi="ar-SA"/>
      </w:rPr>
    </w:rPrDefault>
    <w:pPrDefault>
      <w:pPr>
        <w:suppressAutoHyphens w:val="true"/>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uiPriority="99"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a2166f"/>
    <w:pPr>
      <w:widowControl/>
      <w:suppressAutoHyphens w:val="true"/>
      <w:bidi w:val="0"/>
      <w:spacing w:before="0" w:after="0"/>
      <w:jc w:val="left"/>
    </w:pPr>
    <w:rPr>
      <w:rFonts w:ascii="Times New Roman" w:hAnsi="Times New Roman" w:eastAsia="Times New Roman" w:cs="Times New Roman"/>
      <w:color w:val="auto"/>
      <w:kern w:val="0"/>
      <w:sz w:val="28"/>
      <w:szCs w:val="28"/>
      <w:lang w:val="ru-RU" w:eastAsia="ru-RU" w:bidi="ar-SA"/>
    </w:rPr>
  </w:style>
  <w:style w:type="paragraph" w:styleId="Heading1">
    <w:name w:val="Heading 1"/>
    <w:basedOn w:val="Heading3"/>
    <w:next w:val="Normal"/>
    <w:link w:val="1"/>
    <w:qFormat/>
    <w:rsid w:val="00353a27"/>
    <w:pPr>
      <w:outlineLvl w:val="0"/>
    </w:pPr>
    <w:rPr>
      <w:sz w:val="28"/>
      <w:szCs w:val="28"/>
    </w:rPr>
  </w:style>
  <w:style w:type="paragraph" w:styleId="Heading2">
    <w:name w:val="Heading 2"/>
    <w:basedOn w:val="Heading4"/>
    <w:next w:val="Normal"/>
    <w:link w:val="2"/>
    <w:qFormat/>
    <w:rsid w:val="00ea61a8"/>
    <w:pPr>
      <w:outlineLvl w:val="1"/>
    </w:pPr>
    <w:rPr/>
  </w:style>
  <w:style w:type="paragraph" w:styleId="Heading3">
    <w:name w:val="Heading 3"/>
    <w:basedOn w:val="Normal"/>
    <w:next w:val="Normal"/>
    <w:link w:val="3"/>
    <w:autoRedefine/>
    <w:qFormat/>
    <w:rsid w:val="00035e96"/>
    <w:pPr>
      <w:keepNext w:val="true"/>
      <w:tabs>
        <w:tab w:val="clear" w:pos="720"/>
        <w:tab w:val="left" w:pos="0" w:leader="none"/>
      </w:tabs>
      <w:spacing w:before="120" w:after="60"/>
      <w:ind w:left="1224" w:hanging="504"/>
      <w:outlineLvl w:val="2"/>
    </w:pPr>
    <w:rPr>
      <w:rFonts w:eastAsia="Calibri"/>
      <w:b/>
      <w:sz w:val="24"/>
      <w:szCs w:val="24"/>
      <w:lang w:val="x-none" w:eastAsia="x-none"/>
    </w:rPr>
  </w:style>
  <w:style w:type="paragraph" w:styleId="Heading4">
    <w:name w:val="Heading 4"/>
    <w:basedOn w:val="Heading3"/>
    <w:next w:val="Normal"/>
    <w:link w:val="4"/>
    <w:qFormat/>
    <w:rsid w:val="006629c9"/>
    <w:pPr>
      <w:ind w:left="432" w:hanging="0"/>
      <w:outlineLvl w:val="3"/>
    </w:pPr>
    <w:rPr>
      <w:bCs/>
    </w:rPr>
  </w:style>
  <w:style w:type="paragraph" w:styleId="Heading5">
    <w:name w:val="Heading 5"/>
    <w:basedOn w:val="Normal"/>
    <w:next w:val="Normal"/>
    <w:link w:val="5"/>
    <w:uiPriority w:val="9"/>
    <w:qFormat/>
    <w:rsid w:val="0076353a"/>
    <w:pPr>
      <w:spacing w:before="240" w:after="60"/>
      <w:outlineLvl w:val="4"/>
    </w:pPr>
    <w:rPr>
      <w:b/>
      <w:bCs/>
      <w:i/>
      <w:iCs/>
      <w:sz w:val="26"/>
      <w:szCs w:val="26"/>
      <w:lang w:val="x-none" w:eastAsia="x-none"/>
    </w:rPr>
  </w:style>
  <w:style w:type="paragraph" w:styleId="Heading6">
    <w:name w:val="Heading 6"/>
    <w:basedOn w:val="Normal"/>
    <w:next w:val="Normal"/>
    <w:link w:val="6"/>
    <w:uiPriority w:val="9"/>
    <w:qFormat/>
    <w:rsid w:val="00d22f6d"/>
    <w:pPr>
      <w:keepNext w:val="true"/>
      <w:keepLines/>
      <w:spacing w:before="200" w:after="0"/>
      <w:outlineLvl w:val="5"/>
    </w:pPr>
    <w:rPr>
      <w:rFonts w:ascii="Cambria" w:hAnsi="Cambria"/>
      <w:i/>
      <w:iCs/>
      <w:color w:val="243F60"/>
      <w:sz w:val="20"/>
      <w:szCs w:val="20"/>
      <w:lang w:val="x-none" w:eastAsia="x-none"/>
    </w:rPr>
  </w:style>
  <w:style w:type="paragraph" w:styleId="Heading7">
    <w:name w:val="Heading 7"/>
    <w:basedOn w:val="Normal"/>
    <w:next w:val="Normal"/>
    <w:link w:val="7"/>
    <w:uiPriority w:val="9"/>
    <w:qFormat/>
    <w:rsid w:val="00d22f6d"/>
    <w:pPr>
      <w:keepNext w:val="true"/>
      <w:keepLines/>
      <w:spacing w:before="200" w:after="0"/>
      <w:outlineLvl w:val="6"/>
    </w:pPr>
    <w:rPr>
      <w:rFonts w:ascii="Cambria" w:hAnsi="Cambria"/>
      <w:i/>
      <w:iCs/>
      <w:color w:val="404040"/>
      <w:sz w:val="20"/>
      <w:szCs w:val="20"/>
      <w:lang w:val="x-none" w:eastAsia="x-none"/>
    </w:rPr>
  </w:style>
  <w:style w:type="paragraph" w:styleId="Heading8">
    <w:name w:val="Heading 8"/>
    <w:basedOn w:val="Normal"/>
    <w:next w:val="Normal"/>
    <w:link w:val="8"/>
    <w:uiPriority w:val="9"/>
    <w:qFormat/>
    <w:rsid w:val="00d22f6d"/>
    <w:pPr>
      <w:keepNext w:val="true"/>
      <w:keepLines/>
      <w:spacing w:before="200" w:after="0"/>
      <w:outlineLvl w:val="7"/>
    </w:pPr>
    <w:rPr>
      <w:rFonts w:ascii="Cambria" w:hAnsi="Cambria"/>
      <w:color w:val="4F81BD"/>
      <w:sz w:val="20"/>
      <w:szCs w:val="20"/>
      <w:lang w:val="x-none" w:eastAsia="x-none"/>
    </w:rPr>
  </w:style>
  <w:style w:type="paragraph" w:styleId="Heading9">
    <w:name w:val="Heading 9"/>
    <w:basedOn w:val="Normal"/>
    <w:next w:val="Normal"/>
    <w:link w:val="9"/>
    <w:uiPriority w:val="9"/>
    <w:qFormat/>
    <w:rsid w:val="0076353a"/>
    <w:pPr>
      <w:spacing w:before="240" w:after="60"/>
      <w:outlineLvl w:val="8"/>
    </w:pPr>
    <w:rPr>
      <w:rFonts w:ascii="Arial" w:hAnsi="Arial"/>
      <w:sz w:val="22"/>
      <w:szCs w:val="22"/>
      <w:lang w:val="x-none" w:eastAsia="x-none"/>
    </w:rPr>
  </w:style>
  <w:style w:type="character" w:styleId="DefaultParagraphFont" w:default="1">
    <w:name w:val="Default Paragraph Font"/>
    <w:uiPriority w:val="1"/>
    <w:semiHidden/>
    <w:unhideWhenUsed/>
    <w:qFormat/>
    <w:rPr/>
  </w:style>
  <w:style w:type="character" w:styleId="Style" w:customStyle="1">
    <w:name w:val="Символ сноски"/>
    <w:qFormat/>
    <w:rsid w:val="009909f3"/>
    <w:rPr>
      <w:vertAlign w:val="superscript"/>
    </w:rPr>
  </w:style>
  <w:style w:type="character" w:styleId="FootnoteReference">
    <w:name w:val="Footnote Reference"/>
    <w:rPr>
      <w:vertAlign w:val="superscript"/>
    </w:rPr>
  </w:style>
  <w:style w:type="character" w:styleId="Pagenumber">
    <w:name w:val="page number"/>
    <w:basedOn w:val="DefaultParagraphFont"/>
    <w:qFormat/>
    <w:rsid w:val="006c2f3f"/>
    <w:rPr/>
  </w:style>
  <w:style w:type="character" w:styleId="Hyperlink">
    <w:name w:val="Hyperlink"/>
    <w:uiPriority w:val="99"/>
    <w:rsid w:val="006c2f3f"/>
    <w:rPr>
      <w:color w:val="0000FF"/>
      <w:u w:val="single"/>
    </w:rPr>
  </w:style>
  <w:style w:type="character" w:styleId="Annotationreference">
    <w:name w:val="annotation reference"/>
    <w:uiPriority w:val="99"/>
    <w:semiHidden/>
    <w:qFormat/>
    <w:rsid w:val="00b714b0"/>
    <w:rPr>
      <w:sz w:val="16"/>
      <w:szCs w:val="16"/>
    </w:rPr>
  </w:style>
  <w:style w:type="character" w:styleId="Strong">
    <w:name w:val="Strong"/>
    <w:uiPriority w:val="22"/>
    <w:qFormat/>
    <w:rsid w:val="00165965"/>
    <w:rPr>
      <w:b/>
      <w:bCs/>
    </w:rPr>
  </w:style>
  <w:style w:type="character" w:styleId="6" w:customStyle="1">
    <w:name w:val="Заголовок 6 Знак"/>
    <w:uiPriority w:val="9"/>
    <w:qFormat/>
    <w:rsid w:val="00d22f6d"/>
    <w:rPr>
      <w:rFonts w:ascii="Cambria" w:hAnsi="Cambria"/>
      <w:i/>
      <w:iCs/>
      <w:color w:val="243F60"/>
      <w:lang w:val="x-none" w:eastAsia="x-none"/>
    </w:rPr>
  </w:style>
  <w:style w:type="character" w:styleId="7" w:customStyle="1">
    <w:name w:val="Заголовок 7 Знак"/>
    <w:uiPriority w:val="9"/>
    <w:qFormat/>
    <w:rsid w:val="00d22f6d"/>
    <w:rPr>
      <w:rFonts w:ascii="Cambria" w:hAnsi="Cambria"/>
      <w:i/>
      <w:iCs/>
      <w:color w:val="404040"/>
      <w:lang w:val="x-none" w:eastAsia="x-none"/>
    </w:rPr>
  </w:style>
  <w:style w:type="character" w:styleId="8" w:customStyle="1">
    <w:name w:val="Заголовок 8 Знак"/>
    <w:uiPriority w:val="9"/>
    <w:qFormat/>
    <w:rsid w:val="00d22f6d"/>
    <w:rPr>
      <w:rFonts w:ascii="Cambria" w:hAnsi="Cambria"/>
      <w:color w:val="4F81BD"/>
      <w:lang w:val="x-none" w:eastAsia="x-none"/>
    </w:rPr>
  </w:style>
  <w:style w:type="character" w:styleId="1" w:customStyle="1">
    <w:name w:val="Заголовок 1 Знак"/>
    <w:qFormat/>
    <w:rsid w:val="00353a27"/>
    <w:rPr>
      <w:rFonts w:eastAsia="Calibri"/>
      <w:b/>
      <w:sz w:val="28"/>
      <w:szCs w:val="28"/>
      <w:lang w:val="x-none" w:eastAsia="x-none"/>
    </w:rPr>
  </w:style>
  <w:style w:type="character" w:styleId="2" w:customStyle="1">
    <w:name w:val="Заголовок 2 Знак"/>
    <w:qFormat/>
    <w:rsid w:val="00ea61a8"/>
    <w:rPr>
      <w:rFonts w:eastAsia="Calibri"/>
      <w:b/>
      <w:bCs/>
      <w:sz w:val="24"/>
      <w:szCs w:val="24"/>
      <w:lang w:val="x-none" w:eastAsia="x-none"/>
    </w:rPr>
  </w:style>
  <w:style w:type="character" w:styleId="3" w:customStyle="1">
    <w:name w:val="Заголовок 3 Знак"/>
    <w:qFormat/>
    <w:rsid w:val="00035e96"/>
    <w:rPr>
      <w:rFonts w:eastAsia="Calibri"/>
      <w:b/>
      <w:sz w:val="24"/>
      <w:szCs w:val="24"/>
      <w:lang w:val="x-none" w:eastAsia="x-none"/>
    </w:rPr>
  </w:style>
  <w:style w:type="character" w:styleId="4" w:customStyle="1">
    <w:name w:val="Заголовок 4 Знак"/>
    <w:qFormat/>
    <w:rsid w:val="006629c9"/>
    <w:rPr>
      <w:rFonts w:eastAsia="Calibri"/>
      <w:b/>
      <w:bCs/>
      <w:sz w:val="24"/>
      <w:szCs w:val="24"/>
      <w:lang w:val="x-none" w:eastAsia="x-none"/>
    </w:rPr>
  </w:style>
  <w:style w:type="character" w:styleId="5" w:customStyle="1">
    <w:name w:val="Заголовок 5 Знак"/>
    <w:uiPriority w:val="9"/>
    <w:qFormat/>
    <w:rsid w:val="00d22f6d"/>
    <w:rPr>
      <w:b/>
      <w:bCs/>
      <w:i/>
      <w:iCs/>
      <w:sz w:val="26"/>
      <w:szCs w:val="26"/>
    </w:rPr>
  </w:style>
  <w:style w:type="character" w:styleId="9" w:customStyle="1">
    <w:name w:val="Заголовок 9 Знак"/>
    <w:uiPriority w:val="9"/>
    <w:qFormat/>
    <w:rsid w:val="00d22f6d"/>
    <w:rPr>
      <w:rFonts w:ascii="Arial" w:hAnsi="Arial" w:cs="Arial"/>
      <w:sz w:val="22"/>
      <w:szCs w:val="22"/>
    </w:rPr>
  </w:style>
  <w:style w:type="character" w:styleId="Style1" w:customStyle="1">
    <w:name w:val="Название Знак"/>
    <w:link w:val="15"/>
    <w:uiPriority w:val="10"/>
    <w:qFormat/>
    <w:rsid w:val="00d22f6d"/>
    <w:rPr>
      <w:sz w:val="28"/>
    </w:rPr>
  </w:style>
  <w:style w:type="character" w:styleId="Style2" w:customStyle="1">
    <w:name w:val="Подзаголовок Знак"/>
    <w:uiPriority w:val="11"/>
    <w:qFormat/>
    <w:rsid w:val="00d22f6d"/>
    <w:rPr>
      <w:rFonts w:ascii="Cambria" w:hAnsi="Cambria"/>
      <w:i/>
      <w:iCs/>
      <w:color w:val="4F81BD"/>
      <w:spacing w:val="15"/>
      <w:sz w:val="24"/>
      <w:szCs w:val="24"/>
      <w:lang w:val="x-none" w:eastAsia="x-none"/>
    </w:rPr>
  </w:style>
  <w:style w:type="character" w:styleId="Emphasis">
    <w:name w:val="Emphasis"/>
    <w:uiPriority w:val="20"/>
    <w:qFormat/>
    <w:rsid w:val="00d22f6d"/>
    <w:rPr>
      <w:i/>
      <w:iCs/>
    </w:rPr>
  </w:style>
  <w:style w:type="character" w:styleId="21" w:customStyle="1">
    <w:name w:val="Цитата 2 Знак"/>
    <w:link w:val="Quote"/>
    <w:uiPriority w:val="29"/>
    <w:qFormat/>
    <w:rsid w:val="00d22f6d"/>
    <w:rPr>
      <w:rFonts w:ascii="Calibri" w:hAnsi="Calibri" w:eastAsia="Calibri"/>
      <w:i/>
      <w:iCs/>
      <w:color w:val="000000"/>
      <w:lang w:val="x-none" w:eastAsia="x-none"/>
    </w:rPr>
  </w:style>
  <w:style w:type="character" w:styleId="Style3" w:customStyle="1">
    <w:name w:val="Выделенная цитата Знак"/>
    <w:link w:val="IntenseQuote"/>
    <w:uiPriority w:val="30"/>
    <w:qFormat/>
    <w:rsid w:val="00d22f6d"/>
    <w:rPr>
      <w:rFonts w:ascii="Calibri" w:hAnsi="Calibri" w:eastAsia="Calibri"/>
      <w:b/>
      <w:bCs/>
      <w:i/>
      <w:iCs/>
      <w:color w:val="4F81BD"/>
      <w:lang w:val="x-none" w:eastAsia="x-none"/>
    </w:rPr>
  </w:style>
  <w:style w:type="character" w:styleId="SubtleEmphasis">
    <w:name w:val="Subtle Emphasis"/>
    <w:uiPriority w:val="19"/>
    <w:qFormat/>
    <w:rsid w:val="00d22f6d"/>
    <w:rPr>
      <w:i/>
      <w:iCs/>
      <w:color w:val="808080"/>
    </w:rPr>
  </w:style>
  <w:style w:type="character" w:styleId="IntenseEmphasis">
    <w:name w:val="Intense Emphasis"/>
    <w:uiPriority w:val="21"/>
    <w:qFormat/>
    <w:rsid w:val="00d22f6d"/>
    <w:rPr>
      <w:b/>
      <w:bCs/>
      <w:i/>
      <w:iCs/>
      <w:color w:val="4F81BD"/>
    </w:rPr>
  </w:style>
  <w:style w:type="character" w:styleId="SubtleReference">
    <w:name w:val="Subtle Reference"/>
    <w:uiPriority w:val="31"/>
    <w:qFormat/>
    <w:rsid w:val="00d22f6d"/>
    <w:rPr>
      <w:smallCaps/>
      <w:color w:val="C0504D"/>
      <w:u w:val="single"/>
    </w:rPr>
  </w:style>
  <w:style w:type="character" w:styleId="IntenseReference">
    <w:name w:val="Intense Reference"/>
    <w:uiPriority w:val="32"/>
    <w:qFormat/>
    <w:rsid w:val="00d22f6d"/>
    <w:rPr>
      <w:b/>
      <w:bCs/>
      <w:smallCaps/>
      <w:color w:val="C0504D"/>
      <w:spacing w:val="5"/>
      <w:u w:val="single"/>
    </w:rPr>
  </w:style>
  <w:style w:type="character" w:styleId="BookTitle">
    <w:name w:val="Book Title"/>
    <w:uiPriority w:val="33"/>
    <w:qFormat/>
    <w:rsid w:val="00d22f6d"/>
    <w:rPr>
      <w:b/>
      <w:bCs/>
      <w:smallCaps/>
      <w:spacing w:val="5"/>
    </w:rPr>
  </w:style>
  <w:style w:type="character" w:styleId="Style4" w:customStyle="1">
    <w:name w:val="Электронная подпись Знак"/>
    <w:link w:val="E-mailSignature"/>
    <w:uiPriority w:val="99"/>
    <w:qFormat/>
    <w:rsid w:val="00d22f6d"/>
    <w:rPr>
      <w:rFonts w:eastAsia="Calibri"/>
      <w:sz w:val="24"/>
      <w:szCs w:val="24"/>
    </w:rPr>
  </w:style>
  <w:style w:type="character" w:styleId="11" w:customStyle="1">
    <w:name w:val="Подпункт Знак1"/>
    <w:link w:val="Style22"/>
    <w:qFormat/>
    <w:locked/>
    <w:rsid w:val="00d22f6d"/>
    <w:rPr>
      <w:sz w:val="28"/>
    </w:rPr>
  </w:style>
  <w:style w:type="character" w:styleId="Style5" w:customStyle="1">
    <w:name w:val="Текст сноски Знак"/>
    <w:uiPriority w:val="99"/>
    <w:qFormat/>
    <w:rsid w:val="00d22f6d"/>
    <w:rPr/>
  </w:style>
  <w:style w:type="character" w:styleId="Style6" w:customStyle="1">
    <w:name w:val="Основной текст Знак"/>
    <w:qFormat/>
    <w:rsid w:val="004459a5"/>
    <w:rPr>
      <w:sz w:val="28"/>
      <w:szCs w:val="28"/>
    </w:rPr>
  </w:style>
  <w:style w:type="character" w:styleId="Blk" w:customStyle="1">
    <w:name w:val="blk"/>
    <w:qFormat/>
    <w:rsid w:val="00431ace"/>
    <w:rPr/>
  </w:style>
  <w:style w:type="character" w:styleId="Style7" w:customStyle="1">
    <w:name w:val="Абзац списка Знак"/>
    <w:link w:val="ListParagraph"/>
    <w:uiPriority w:val="34"/>
    <w:qFormat/>
    <w:locked/>
    <w:rsid w:val="00310eb4"/>
    <w:rPr>
      <w:rFonts w:eastAsia="Calibri"/>
      <w:sz w:val="24"/>
      <w:szCs w:val="24"/>
    </w:rPr>
  </w:style>
  <w:style w:type="character" w:styleId="Style8" w:customStyle="1">
    <w:name w:val="комментарий"/>
    <w:qFormat/>
    <w:rsid w:val="0025139e"/>
    <w:rPr>
      <w:b/>
      <w:i/>
      <w:shd w:fill="FFFF99" w:val="clear"/>
    </w:rPr>
  </w:style>
  <w:style w:type="character" w:styleId="Style9" w:customStyle="1">
    <w:name w:val="Подподпункт Знак"/>
    <w:link w:val="Style30"/>
    <w:qFormat/>
    <w:locked/>
    <w:rsid w:val="0025139e"/>
    <w:rPr>
      <w:sz w:val="26"/>
      <w:szCs w:val="26"/>
    </w:rPr>
  </w:style>
  <w:style w:type="character" w:styleId="31" w:customStyle="1">
    <w:name w:val="УРОВЕНЬ_Абзац_тип3 Знак"/>
    <w:link w:val="36"/>
    <w:qFormat/>
    <w:rsid w:val="00b56f46"/>
    <w:rPr>
      <w:rFonts w:eastAsia="Calibri"/>
      <w:sz w:val="26"/>
      <w:szCs w:val="28"/>
      <w:lang w:eastAsia="en-US"/>
    </w:rPr>
  </w:style>
  <w:style w:type="character" w:styleId="Style10" w:customStyle="1">
    <w:name w:val="Верхний колонтитул Знак"/>
    <w:uiPriority w:val="99"/>
    <w:qFormat/>
    <w:rsid w:val="002f31af"/>
    <w:rPr>
      <w:sz w:val="24"/>
      <w:szCs w:val="24"/>
    </w:rPr>
  </w:style>
  <w:style w:type="character" w:styleId="Style11" w:customStyle="1">
    <w:name w:val="Текст примечания Знак"/>
    <w:link w:val="Annotationtext"/>
    <w:semiHidden/>
    <w:qFormat/>
    <w:rsid w:val="00dc0f7d"/>
    <w:rPr/>
  </w:style>
  <w:style w:type="character" w:styleId="Style12" w:customStyle="1">
    <w:name w:val="Текст концевой сноски Знак"/>
    <w:basedOn w:val="DefaultParagraphFont"/>
    <w:qFormat/>
    <w:rsid w:val="003879d4"/>
    <w:rPr/>
  </w:style>
  <w:style w:type="character" w:styleId="Style13" w:customStyle="1">
    <w:name w:val="Символ концевой сноски"/>
    <w:qFormat/>
    <w:rsid w:val="003879d4"/>
    <w:rPr>
      <w:vertAlign w:val="superscript"/>
    </w:rPr>
  </w:style>
  <w:style w:type="character" w:styleId="EndnoteReference">
    <w:name w:val="Endnote Reference"/>
    <w:rPr>
      <w:vertAlign w:val="superscript"/>
    </w:rPr>
  </w:style>
  <w:style w:type="character" w:styleId="22" w:customStyle="1">
    <w:name w:val="Пункт2 Знак"/>
    <w:link w:val="24"/>
    <w:qFormat/>
    <w:rsid w:val="00de52bc"/>
    <w:rPr>
      <w:b/>
      <w:sz w:val="28"/>
    </w:rPr>
  </w:style>
  <w:style w:type="character" w:styleId="12" w:customStyle="1">
    <w:name w:val="УРОВЕНЬ_1. Знак"/>
    <w:link w:val="19"/>
    <w:qFormat/>
    <w:rsid w:val="004a17ae"/>
    <w:rPr>
      <w:rFonts w:eastAsia="Calibri"/>
      <w:caps/>
      <w:sz w:val="28"/>
      <w:szCs w:val="28"/>
      <w:lang w:eastAsia="en-US"/>
    </w:rPr>
  </w:style>
  <w:style w:type="character" w:styleId="13" w:customStyle="1">
    <w:name w:val="Неразрешенное упоминание1"/>
    <w:basedOn w:val="DefaultParagraphFont"/>
    <w:uiPriority w:val="99"/>
    <w:semiHidden/>
    <w:unhideWhenUsed/>
    <w:qFormat/>
    <w:rsid w:val="00c36f30"/>
    <w:rPr>
      <w:color w:val="605E5C"/>
      <w:shd w:fill="E1DFDD" w:val="clear"/>
    </w:rPr>
  </w:style>
  <w:style w:type="character" w:styleId="32" w:customStyle="1">
    <w:name w:val="Основной текст с отступом 3 Знак"/>
    <w:link w:val="BodyTextIndent3"/>
    <w:qFormat/>
    <w:rsid w:val="00c36f30"/>
    <w:rPr>
      <w:sz w:val="16"/>
      <w:szCs w:val="16"/>
    </w:rPr>
  </w:style>
  <w:style w:type="character" w:styleId="Style14" w:customStyle="1">
    <w:name w:val="основной для подзаголовков Знак"/>
    <w:link w:val="Style34"/>
    <w:qFormat/>
    <w:locked/>
    <w:rsid w:val="00e32efd"/>
    <w:rPr>
      <w:b/>
      <w:sz w:val="28"/>
      <w:szCs w:val="28"/>
    </w:rPr>
  </w:style>
  <w:style w:type="character" w:styleId="Apple-converted-space" w:customStyle="1">
    <w:name w:val="apple-converted-space"/>
    <w:basedOn w:val="DefaultParagraphFont"/>
    <w:qFormat/>
    <w:rsid w:val="00b85984"/>
    <w:rPr/>
  </w:style>
  <w:style w:type="character" w:styleId="Tooltip" w:customStyle="1">
    <w:name w:val="tooltip"/>
    <w:basedOn w:val="DefaultParagraphFont"/>
    <w:qFormat/>
    <w:rsid w:val="00287a28"/>
    <w:rPr/>
  </w:style>
  <w:style w:type="character" w:styleId="Style15" w:customStyle="1">
    <w:name w:val="Ссылка указателя"/>
    <w:qFormat/>
    <w:rPr/>
  </w:style>
  <w:style w:type="paragraph" w:styleId="Style16">
    <w:name w:val="Заголовок"/>
    <w:basedOn w:val="Normal"/>
    <w:next w:val="BodyText"/>
    <w:qFormat/>
    <w:pPr>
      <w:keepNext w:val="true"/>
      <w:spacing w:before="240" w:after="120"/>
    </w:pPr>
    <w:rPr>
      <w:rFonts w:ascii="Liberation Sans" w:hAnsi="Liberation Sans" w:eastAsia="Arial Unicode MS" w:cs="Arial Unicode MS"/>
      <w:sz w:val="28"/>
      <w:szCs w:val="28"/>
    </w:rPr>
  </w:style>
  <w:style w:type="paragraph" w:styleId="BodyText">
    <w:name w:val="Body Text"/>
    <w:basedOn w:val="Normal"/>
    <w:link w:val="Style6"/>
    <w:rsid w:val="0076353a"/>
    <w:pPr>
      <w:spacing w:before="0" w:after="120"/>
    </w:pPr>
    <w:rPr/>
  </w:style>
  <w:style w:type="paragraph" w:styleId="List">
    <w:name w:val="List"/>
    <w:basedOn w:val="BodyText"/>
    <w:pPr/>
    <w:rPr/>
  </w:style>
  <w:style w:type="paragraph" w:styleId="Caption">
    <w:name w:val="Caption"/>
    <w:basedOn w:val="Normal"/>
    <w:qFormat/>
    <w:pPr>
      <w:suppressLineNumbers/>
      <w:spacing w:before="120" w:after="120"/>
    </w:pPr>
    <w:rPr>
      <w:i/>
      <w:iCs/>
      <w:sz w:val="24"/>
      <w:szCs w:val="24"/>
    </w:rPr>
  </w:style>
  <w:style w:type="paragraph" w:styleId="Style17">
    <w:name w:val="Указатель"/>
    <w:basedOn w:val="Normal"/>
    <w:qFormat/>
    <w:pPr>
      <w:suppressLineNumbers/>
    </w:pPr>
    <w:rPr/>
  </w:style>
  <w:style w:type="paragraph" w:styleId="Title">
    <w:name w:val="Title"/>
    <w:basedOn w:val="Normal"/>
    <w:next w:val="BodyText"/>
    <w:qFormat/>
    <w:pPr>
      <w:keepNext w:val="true"/>
      <w:spacing w:before="240" w:after="120"/>
    </w:pPr>
    <w:rPr>
      <w:rFonts w:ascii="Liberation Sans" w:hAnsi="Liberation Sans" w:eastAsia="Arial Unicode MS" w:cs="Arial Unicode MS"/>
    </w:rPr>
  </w:style>
  <w:style w:type="paragraph" w:styleId="Caption1">
    <w:name w:val="caption1"/>
    <w:basedOn w:val="Normal"/>
    <w:qFormat/>
    <w:pPr>
      <w:suppressLineNumbers/>
      <w:spacing w:before="120" w:after="120"/>
    </w:pPr>
    <w:rPr>
      <w:i/>
      <w:iCs/>
      <w:sz w:val="24"/>
      <w:szCs w:val="24"/>
    </w:rPr>
  </w:style>
  <w:style w:type="paragraph" w:styleId="Indexheading1">
    <w:name w:val="index heading1"/>
    <w:basedOn w:val="Title"/>
    <w:qFormat/>
    <w:pPr/>
    <w:rPr/>
  </w:style>
  <w:style w:type="paragraph" w:styleId="Caption11" w:customStyle="1">
    <w:name w:val="caption11"/>
    <w:basedOn w:val="Normal"/>
    <w:qFormat/>
    <w:pPr>
      <w:suppressLineNumbers/>
      <w:spacing w:before="120" w:after="120"/>
    </w:pPr>
    <w:rPr>
      <w:i/>
      <w:iCs/>
      <w:sz w:val="24"/>
      <w:szCs w:val="24"/>
    </w:rPr>
  </w:style>
  <w:style w:type="paragraph" w:styleId="Indexheading11" w:customStyle="1">
    <w:name w:val="index heading11"/>
    <w:basedOn w:val="Title"/>
    <w:qFormat/>
    <w:pPr/>
    <w:rPr/>
  </w:style>
  <w:style w:type="paragraph" w:styleId="Caption111" w:customStyle="1">
    <w:name w:val="caption111"/>
    <w:basedOn w:val="Normal"/>
    <w:qFormat/>
    <w:pPr>
      <w:suppressLineNumbers/>
      <w:spacing w:before="120" w:after="120"/>
    </w:pPr>
    <w:rPr>
      <w:i/>
      <w:iCs/>
      <w:sz w:val="24"/>
      <w:szCs w:val="24"/>
    </w:rPr>
  </w:style>
  <w:style w:type="paragraph" w:styleId="Indexheading111" w:customStyle="1">
    <w:name w:val="index heading111"/>
    <w:basedOn w:val="Title"/>
    <w:qFormat/>
    <w:pPr/>
    <w:rPr/>
  </w:style>
  <w:style w:type="paragraph" w:styleId="Caption1111" w:customStyle="1">
    <w:name w:val="caption1111"/>
    <w:basedOn w:val="Normal"/>
    <w:qFormat/>
    <w:pPr>
      <w:suppressLineNumbers/>
      <w:spacing w:before="120" w:after="120"/>
    </w:pPr>
    <w:rPr>
      <w:i/>
      <w:iCs/>
      <w:sz w:val="24"/>
      <w:szCs w:val="24"/>
    </w:rPr>
  </w:style>
  <w:style w:type="paragraph" w:styleId="Indexheading1111" w:customStyle="1">
    <w:name w:val="index heading1111"/>
    <w:basedOn w:val="Title"/>
    <w:qFormat/>
    <w:pPr/>
    <w:rPr/>
  </w:style>
  <w:style w:type="paragraph" w:styleId="Caption11111" w:customStyle="1">
    <w:name w:val="caption11111"/>
    <w:basedOn w:val="Normal"/>
    <w:qFormat/>
    <w:pPr>
      <w:suppressLineNumbers/>
      <w:spacing w:before="120" w:after="120"/>
    </w:pPr>
    <w:rPr>
      <w:i/>
      <w:iCs/>
      <w:sz w:val="24"/>
      <w:szCs w:val="24"/>
    </w:rPr>
  </w:style>
  <w:style w:type="paragraph" w:styleId="Indexheading11111" w:customStyle="1">
    <w:name w:val="index heading11111"/>
    <w:basedOn w:val="Title"/>
    <w:qFormat/>
    <w:pPr/>
    <w:rPr/>
  </w:style>
  <w:style w:type="paragraph" w:styleId="Caption111111" w:customStyle="1">
    <w:name w:val="caption111111"/>
    <w:basedOn w:val="Normal"/>
    <w:qFormat/>
    <w:pPr>
      <w:suppressLineNumbers/>
      <w:spacing w:before="120" w:after="120"/>
    </w:pPr>
    <w:rPr>
      <w:i/>
      <w:iCs/>
      <w:sz w:val="24"/>
      <w:szCs w:val="24"/>
    </w:rPr>
  </w:style>
  <w:style w:type="paragraph" w:styleId="Indexheading111111" w:customStyle="1">
    <w:name w:val="index heading111111"/>
    <w:basedOn w:val="Title"/>
    <w:qFormat/>
    <w:pPr/>
    <w:rPr/>
  </w:style>
  <w:style w:type="paragraph" w:styleId="Caption1111111" w:customStyle="1">
    <w:name w:val="caption1111111"/>
    <w:basedOn w:val="Normal"/>
    <w:qFormat/>
    <w:pPr>
      <w:suppressLineNumbers/>
      <w:spacing w:before="120" w:after="120"/>
    </w:pPr>
    <w:rPr>
      <w:i/>
      <w:iCs/>
      <w:sz w:val="24"/>
      <w:szCs w:val="24"/>
    </w:rPr>
  </w:style>
  <w:style w:type="paragraph" w:styleId="Indexheading1111111" w:customStyle="1">
    <w:name w:val="index heading1111111"/>
    <w:basedOn w:val="Title"/>
    <w:qFormat/>
    <w:pPr/>
    <w:rPr/>
  </w:style>
  <w:style w:type="paragraph" w:styleId="Style18" w:customStyle="1">
    <w:name w:val="Название раздела инструкции"/>
    <w:basedOn w:val="Normal"/>
    <w:autoRedefine/>
    <w:qFormat/>
    <w:rsid w:val="00275328"/>
    <w:pPr>
      <w:jc w:val="center"/>
    </w:pPr>
    <w:rPr>
      <w:b/>
    </w:rPr>
  </w:style>
  <w:style w:type="paragraph" w:styleId="Style19" w:customStyle="1">
    <w:name w:val="Раздел положения"/>
    <w:basedOn w:val="Normal"/>
    <w:autoRedefine/>
    <w:qFormat/>
    <w:rsid w:val="007475ee"/>
    <w:pPr>
      <w:numPr>
        <w:ilvl w:val="0"/>
        <w:numId w:val="1"/>
      </w:numPr>
      <w:spacing w:before="80" w:after="80"/>
      <w:jc w:val="center"/>
    </w:pPr>
    <w:rPr>
      <w:b/>
      <w:sz w:val="32"/>
      <w:szCs w:val="32"/>
    </w:rPr>
  </w:style>
  <w:style w:type="paragraph" w:styleId="Style20" w:customStyle="1">
    <w:name w:val="Подраздел раздела положения"/>
    <w:basedOn w:val="Normal"/>
    <w:autoRedefine/>
    <w:qFormat/>
    <w:rsid w:val="007475ee"/>
    <w:pPr>
      <w:numPr>
        <w:ilvl w:val="1"/>
        <w:numId w:val="1"/>
      </w:numPr>
      <w:spacing w:before="80" w:after="80"/>
      <w:jc w:val="both"/>
    </w:pPr>
    <w:rPr/>
  </w:style>
  <w:style w:type="paragraph" w:styleId="FootnoteText">
    <w:name w:val="Footnote Text"/>
    <w:basedOn w:val="Normal"/>
    <w:link w:val="Style5"/>
    <w:rsid w:val="00d561d9"/>
    <w:pPr/>
    <w:rPr>
      <w:sz w:val="20"/>
      <w:szCs w:val="20"/>
    </w:rPr>
  </w:style>
  <w:style w:type="paragraph" w:styleId="14" w:customStyle="1">
    <w:name w:val="Шапка 1"/>
    <w:basedOn w:val="Normal"/>
    <w:qFormat/>
    <w:rsid w:val="00d561d9"/>
    <w:pPr>
      <w:pBdr>
        <w:bottom w:val="thickThinSmallGap" w:sz="24" w:space="1" w:color="000000"/>
      </w:pBdr>
      <w:spacing w:before="0" w:after="240"/>
      <w:jc w:val="center"/>
    </w:pPr>
    <w:rPr>
      <w:sz w:val="22"/>
      <w:szCs w:val="22"/>
    </w:rPr>
  </w:style>
  <w:style w:type="paragraph" w:styleId="23" w:customStyle="1">
    <w:name w:val="Шапка 2"/>
    <w:basedOn w:val="Normal"/>
    <w:qFormat/>
    <w:rsid w:val="00d561d9"/>
    <w:pPr>
      <w:pBdr>
        <w:bottom w:val="thickThinSmallGap" w:sz="24" w:space="1" w:color="000000"/>
      </w:pBdr>
      <w:spacing w:before="0" w:after="120"/>
      <w:jc w:val="center"/>
    </w:pPr>
    <w:rPr>
      <w:b/>
      <w:sz w:val="22"/>
      <w:szCs w:val="22"/>
    </w:rPr>
  </w:style>
  <w:style w:type="paragraph" w:styleId="33" w:customStyle="1">
    <w:name w:val="Шапка 3"/>
    <w:basedOn w:val="Normal"/>
    <w:qFormat/>
    <w:rsid w:val="00d561d9"/>
    <w:pPr>
      <w:pBdr>
        <w:bottom w:val="thickThinSmallGap" w:sz="24" w:space="1" w:color="000000"/>
      </w:pBdr>
      <w:spacing w:before="240" w:after="360"/>
      <w:jc w:val="center"/>
    </w:pPr>
    <w:rPr>
      <w:b/>
      <w:sz w:val="24"/>
      <w:szCs w:val="24"/>
    </w:rPr>
  </w:style>
  <w:style w:type="paragraph" w:styleId="15" w:customStyle="1">
    <w:name w:val="Название1"/>
    <w:basedOn w:val="Normal"/>
    <w:link w:val="Style1"/>
    <w:uiPriority w:val="10"/>
    <w:qFormat/>
    <w:rsid w:val="00bd4014"/>
    <w:pPr>
      <w:jc w:val="center"/>
    </w:pPr>
    <w:rPr>
      <w:szCs w:val="20"/>
      <w:lang w:val="x-none" w:eastAsia="x-none"/>
    </w:rPr>
  </w:style>
  <w:style w:type="paragraph" w:styleId="Style21" w:customStyle="1">
    <w:name w:val="Колонтитул"/>
    <w:basedOn w:val="Normal"/>
    <w:qFormat/>
    <w:pPr/>
    <w:rPr/>
  </w:style>
  <w:style w:type="paragraph" w:styleId="Header">
    <w:name w:val="Header"/>
    <w:basedOn w:val="Normal"/>
    <w:link w:val="Style10"/>
    <w:rsid w:val="0076353a"/>
    <w:pPr>
      <w:tabs>
        <w:tab w:val="clear" w:pos="720"/>
        <w:tab w:val="center" w:pos="4677" w:leader="none"/>
        <w:tab w:val="right" w:pos="9355" w:leader="none"/>
      </w:tabs>
    </w:pPr>
    <w:rPr>
      <w:sz w:val="24"/>
      <w:szCs w:val="24"/>
    </w:rPr>
  </w:style>
  <w:style w:type="paragraph" w:styleId="BodyTextIndent">
    <w:name w:val="Body Text Indent"/>
    <w:basedOn w:val="Normal"/>
    <w:rsid w:val="0076353a"/>
    <w:pPr>
      <w:ind w:left="360" w:hanging="0"/>
    </w:pPr>
    <w:rPr>
      <w:sz w:val="24"/>
      <w:szCs w:val="24"/>
    </w:rPr>
  </w:style>
  <w:style w:type="paragraph" w:styleId="Footer">
    <w:name w:val="Footer"/>
    <w:basedOn w:val="Normal"/>
    <w:rsid w:val="0076353a"/>
    <w:pPr>
      <w:tabs>
        <w:tab w:val="clear" w:pos="720"/>
        <w:tab w:val="center" w:pos="4677" w:leader="none"/>
        <w:tab w:val="right" w:pos="9355" w:leader="none"/>
      </w:tabs>
    </w:pPr>
    <w:rPr/>
  </w:style>
  <w:style w:type="paragraph" w:styleId="BodyTextIndent2">
    <w:name w:val="Body Text Indent 2"/>
    <w:basedOn w:val="Normal"/>
    <w:qFormat/>
    <w:rsid w:val="0076353a"/>
    <w:pPr>
      <w:spacing w:lineRule="auto" w:line="480" w:before="0" w:after="120"/>
      <w:ind w:left="283" w:hanging="0"/>
    </w:pPr>
    <w:rPr/>
  </w:style>
  <w:style w:type="paragraph" w:styleId="BodyText3">
    <w:name w:val="Body Text 3"/>
    <w:basedOn w:val="Normal"/>
    <w:qFormat/>
    <w:rsid w:val="0076353a"/>
    <w:pPr>
      <w:spacing w:before="0" w:after="120"/>
    </w:pPr>
    <w:rPr>
      <w:sz w:val="16"/>
      <w:szCs w:val="16"/>
    </w:rPr>
  </w:style>
  <w:style w:type="paragraph" w:styleId="BodyTextIndent3">
    <w:name w:val="Body Text Indent 3"/>
    <w:basedOn w:val="Normal"/>
    <w:link w:val="32"/>
    <w:qFormat/>
    <w:rsid w:val="0076353a"/>
    <w:pPr>
      <w:spacing w:before="0" w:after="120"/>
      <w:ind w:left="283" w:hanging="0"/>
    </w:pPr>
    <w:rPr>
      <w:sz w:val="16"/>
      <w:szCs w:val="16"/>
    </w:rPr>
  </w:style>
  <w:style w:type="paragraph" w:styleId="BodyText2">
    <w:name w:val="Body Text 2"/>
    <w:basedOn w:val="Normal"/>
    <w:qFormat/>
    <w:rsid w:val="0076353a"/>
    <w:pPr>
      <w:spacing w:lineRule="auto" w:line="480" w:before="0" w:after="120"/>
    </w:pPr>
    <w:rPr/>
  </w:style>
  <w:style w:type="paragraph" w:styleId="BlockText">
    <w:name w:val="Block Text"/>
    <w:basedOn w:val="Normal"/>
    <w:qFormat/>
    <w:rsid w:val="0076353a"/>
    <w:pPr>
      <w:ind w:left="-567" w:right="-766" w:hanging="0"/>
      <w:jc w:val="center"/>
    </w:pPr>
    <w:rPr>
      <w:b/>
      <w:bCs/>
      <w:sz w:val="24"/>
      <w:szCs w:val="20"/>
    </w:rPr>
  </w:style>
  <w:style w:type="paragraph" w:styleId="Style22" w:customStyle="1">
    <w:name w:val="Подпункт"/>
    <w:basedOn w:val="Normal"/>
    <w:link w:val="11"/>
    <w:qFormat/>
    <w:rsid w:val="0076353a"/>
    <w:pPr>
      <w:tabs>
        <w:tab w:val="clear" w:pos="720"/>
        <w:tab w:val="left" w:pos="1134" w:leader="none"/>
      </w:tabs>
      <w:snapToGrid w:val="false"/>
      <w:spacing w:lineRule="auto" w:line="360"/>
      <w:ind w:left="1134" w:hanging="1134"/>
      <w:jc w:val="both"/>
    </w:pPr>
    <w:rPr>
      <w:szCs w:val="20"/>
      <w:lang w:val="x-none" w:eastAsia="x-none"/>
    </w:rPr>
  </w:style>
  <w:style w:type="paragraph" w:styleId="24" w:customStyle="1">
    <w:name w:val="Пункт2"/>
    <w:basedOn w:val="Normal"/>
    <w:link w:val="22"/>
    <w:qFormat/>
    <w:rsid w:val="0076353a"/>
    <w:pPr>
      <w:keepNext w:val="true"/>
      <w:tabs>
        <w:tab w:val="clear" w:pos="720"/>
        <w:tab w:val="left" w:pos="1134" w:leader="none"/>
      </w:tabs>
      <w:snapToGrid w:val="false"/>
      <w:spacing w:before="240" w:after="120"/>
      <w:ind w:left="1134" w:hanging="1134"/>
      <w:outlineLvl w:val="2"/>
    </w:pPr>
    <w:rPr>
      <w:b/>
      <w:szCs w:val="20"/>
    </w:rPr>
  </w:style>
  <w:style w:type="paragraph" w:styleId="TOC1">
    <w:name w:val="TOC 1"/>
    <w:basedOn w:val="Normal"/>
    <w:next w:val="Normal"/>
    <w:autoRedefine/>
    <w:uiPriority w:val="39"/>
    <w:rsid w:val="00421b6b"/>
    <w:pPr>
      <w:spacing w:before="120" w:after="0"/>
    </w:pPr>
    <w:rPr>
      <w:rFonts w:cs="Calibri Light (Заголовки)"/>
      <w:b/>
      <w:bCs/>
      <w:sz w:val="24"/>
      <w:szCs w:val="24"/>
    </w:rPr>
  </w:style>
  <w:style w:type="paragraph" w:styleId="TOC3">
    <w:name w:val="TOC 3"/>
    <w:basedOn w:val="Normal"/>
    <w:next w:val="Normal"/>
    <w:autoRedefine/>
    <w:uiPriority w:val="39"/>
    <w:rsid w:val="00c01756"/>
    <w:pPr>
      <w:ind w:left="280" w:hanging="0"/>
    </w:pPr>
    <w:rPr>
      <w:rFonts w:cs="Calibri" w:cstheme="minorHAnsi"/>
      <w:sz w:val="20"/>
      <w:szCs w:val="20"/>
    </w:rPr>
  </w:style>
  <w:style w:type="paragraph" w:styleId="Style23" w:customStyle="1">
    <w:name w:val="Раздел регламента"/>
    <w:basedOn w:val="Normal"/>
    <w:qFormat/>
    <w:rsid w:val="00e228fa"/>
    <w:pPr/>
    <w:rPr/>
  </w:style>
  <w:style w:type="paragraph" w:styleId="Style24" w:customStyle="1">
    <w:name w:val="Приложение к регламенту"/>
    <w:basedOn w:val="Normal"/>
    <w:qFormat/>
    <w:rsid w:val="00e228fa"/>
    <w:pPr>
      <w:jc w:val="right"/>
    </w:pPr>
    <w:rPr/>
  </w:style>
  <w:style w:type="paragraph" w:styleId="TOC2">
    <w:name w:val="TOC 2"/>
    <w:basedOn w:val="Normal"/>
    <w:next w:val="Normal"/>
    <w:autoRedefine/>
    <w:uiPriority w:val="39"/>
    <w:rsid w:val="00c01756"/>
    <w:pPr>
      <w:spacing w:before="240" w:after="0"/>
    </w:pPr>
    <w:rPr>
      <w:rFonts w:cs="Calibri" w:cstheme="minorHAnsi"/>
      <w:b/>
      <w:bCs/>
      <w:sz w:val="20"/>
      <w:szCs w:val="20"/>
    </w:rPr>
  </w:style>
  <w:style w:type="paragraph" w:styleId="BalloonText">
    <w:name w:val="Balloon Text"/>
    <w:basedOn w:val="Normal"/>
    <w:semiHidden/>
    <w:qFormat/>
    <w:rsid w:val="00197c91"/>
    <w:pPr/>
    <w:rPr>
      <w:rFonts w:ascii="Tahoma" w:hAnsi="Tahoma" w:cs="Tahoma"/>
      <w:sz w:val="16"/>
      <w:szCs w:val="16"/>
    </w:rPr>
  </w:style>
  <w:style w:type="paragraph" w:styleId="Annotationtext">
    <w:name w:val="annotation text"/>
    <w:basedOn w:val="Normal"/>
    <w:link w:val="Style11"/>
    <w:semiHidden/>
    <w:qFormat/>
    <w:rsid w:val="00b714b0"/>
    <w:pPr/>
    <w:rPr>
      <w:sz w:val="20"/>
      <w:szCs w:val="20"/>
    </w:rPr>
  </w:style>
  <w:style w:type="paragraph" w:styleId="Annotationsubject">
    <w:name w:val="annotation subject"/>
    <w:basedOn w:val="Annotationtext"/>
    <w:next w:val="Annotationtext"/>
    <w:semiHidden/>
    <w:qFormat/>
    <w:rsid w:val="00b714b0"/>
    <w:pPr/>
    <w:rPr>
      <w:b/>
      <w:bCs/>
    </w:rPr>
  </w:style>
  <w:style w:type="paragraph" w:styleId="16" w:customStyle="1">
    <w:name w:val="Обычный (веб)1"/>
    <w:basedOn w:val="Normal"/>
    <w:uiPriority w:val="99"/>
    <w:qFormat/>
    <w:rsid w:val="002f559a"/>
    <w:pPr>
      <w:spacing w:beforeAutospacing="1" w:afterAutospacing="1"/>
    </w:pPr>
    <w:rPr>
      <w:rFonts w:ascii="Arial Unicode MS" w:hAnsi="Arial Unicode MS" w:eastAsia="Arial Unicode MS" w:cs="Arial Unicode MS"/>
      <w:sz w:val="24"/>
      <w:szCs w:val="24"/>
    </w:rPr>
  </w:style>
  <w:style w:type="paragraph" w:styleId="TOC9">
    <w:name w:val="TOC 9"/>
    <w:basedOn w:val="Normal"/>
    <w:next w:val="Normal"/>
    <w:autoRedefine/>
    <w:semiHidden/>
    <w:rsid w:val="00f57628"/>
    <w:pPr>
      <w:ind w:left="1960" w:hanging="0"/>
    </w:pPr>
    <w:rPr>
      <w:rFonts w:ascii="Calibri" w:hAnsi="Calibri" w:cs="Calibri" w:asciiTheme="minorHAnsi" w:cstheme="minorHAnsi" w:hAnsiTheme="minorHAnsi"/>
      <w:sz w:val="20"/>
      <w:szCs w:val="20"/>
    </w:rPr>
  </w:style>
  <w:style w:type="paragraph" w:styleId="TOC5">
    <w:name w:val="TOC 5"/>
    <w:basedOn w:val="Normal"/>
    <w:next w:val="Normal"/>
    <w:autoRedefine/>
    <w:semiHidden/>
    <w:rsid w:val="00f57628"/>
    <w:pPr>
      <w:ind w:left="840" w:hanging="0"/>
    </w:pPr>
    <w:rPr>
      <w:rFonts w:ascii="Calibri" w:hAnsi="Calibri" w:cs="Calibri" w:asciiTheme="minorHAnsi" w:cstheme="minorHAnsi" w:hAnsiTheme="minorHAnsi"/>
      <w:sz w:val="20"/>
      <w:szCs w:val="20"/>
    </w:rPr>
  </w:style>
  <w:style w:type="paragraph" w:styleId="TOC4">
    <w:name w:val="TOC 4"/>
    <w:basedOn w:val="Normal"/>
    <w:next w:val="Normal"/>
    <w:autoRedefine/>
    <w:uiPriority w:val="39"/>
    <w:rsid w:val="00c01756"/>
    <w:pPr>
      <w:ind w:left="560" w:hanging="0"/>
    </w:pPr>
    <w:rPr>
      <w:rFonts w:cs="Calibri" w:cstheme="minorHAnsi"/>
      <w:sz w:val="20"/>
      <w:szCs w:val="20"/>
    </w:rPr>
  </w:style>
  <w:style w:type="paragraph" w:styleId="25" w:customStyle="1">
    <w:name w:val="Раздел положения 2"/>
    <w:basedOn w:val="Normal"/>
    <w:qFormat/>
    <w:rsid w:val="002c1e0e"/>
    <w:pPr>
      <w:pageBreakBefore/>
      <w:jc w:val="both"/>
      <w:outlineLvl w:val="0"/>
    </w:pPr>
    <w:rPr>
      <w:b/>
    </w:rPr>
  </w:style>
  <w:style w:type="paragraph" w:styleId="Style25" w:customStyle="1">
    <w:name w:val="Знак Знак Знак Знак Знак Знак Знак Знак Знак"/>
    <w:basedOn w:val="Normal"/>
    <w:qFormat/>
    <w:rsid w:val="00d22f6d"/>
    <w:pPr>
      <w:spacing w:lineRule="exact" w:line="240" w:before="0" w:after="160"/>
      <w:jc w:val="both"/>
    </w:pPr>
    <w:rPr>
      <w:rFonts w:ascii="Verdana" w:hAnsi="Verdana" w:cs="Verdana"/>
      <w:sz w:val="22"/>
      <w:szCs w:val="22"/>
      <w:lang w:val="en-US" w:eastAsia="en-US"/>
    </w:rPr>
  </w:style>
  <w:style w:type="paragraph" w:styleId="NoSpacing">
    <w:name w:val="No Spacing"/>
    <w:basedOn w:val="Normal"/>
    <w:uiPriority w:val="1"/>
    <w:qFormat/>
    <w:rsid w:val="00d22f6d"/>
    <w:pPr>
      <w:spacing w:lineRule="auto" w:line="360"/>
    </w:pPr>
    <w:rPr>
      <w:rFonts w:eastAsia="Calibri"/>
      <w:sz w:val="24"/>
      <w:szCs w:val="24"/>
    </w:rPr>
  </w:style>
  <w:style w:type="paragraph" w:styleId="Caption11111111" w:customStyle="1">
    <w:name w:val="caption11111111"/>
    <w:basedOn w:val="Normal"/>
    <w:next w:val="Normal"/>
    <w:uiPriority w:val="35"/>
    <w:qFormat/>
    <w:rsid w:val="00d22f6d"/>
    <w:pPr/>
    <w:rPr>
      <w:rFonts w:eastAsia="Calibri"/>
      <w:b/>
      <w:bCs/>
      <w:color w:val="4F81BD"/>
      <w:sz w:val="18"/>
      <w:szCs w:val="18"/>
    </w:rPr>
  </w:style>
  <w:style w:type="paragraph" w:styleId="Subtitle">
    <w:name w:val="Subtitle"/>
    <w:basedOn w:val="Normal"/>
    <w:next w:val="Normal"/>
    <w:link w:val="Style2"/>
    <w:uiPriority w:val="11"/>
    <w:qFormat/>
    <w:rsid w:val="00d22f6d"/>
    <w:pPr>
      <w:ind w:left="1066" w:firstLine="709"/>
    </w:pPr>
    <w:rPr>
      <w:rFonts w:ascii="Cambria" w:hAnsi="Cambria"/>
      <w:i/>
      <w:iCs/>
      <w:color w:val="4F81BD"/>
      <w:spacing w:val="15"/>
      <w:sz w:val="24"/>
      <w:szCs w:val="24"/>
      <w:lang w:val="x-none" w:eastAsia="x-none"/>
    </w:rPr>
  </w:style>
  <w:style w:type="paragraph" w:styleId="ListParagraph">
    <w:name w:val="List Paragraph"/>
    <w:basedOn w:val="Normal"/>
    <w:link w:val="Style7"/>
    <w:uiPriority w:val="34"/>
    <w:qFormat/>
    <w:rsid w:val="00d22f6d"/>
    <w:pPr>
      <w:spacing w:before="0" w:after="0"/>
      <w:ind w:left="720" w:hanging="0"/>
      <w:contextualSpacing/>
    </w:pPr>
    <w:rPr>
      <w:rFonts w:eastAsia="Calibri"/>
      <w:sz w:val="24"/>
      <w:szCs w:val="24"/>
    </w:rPr>
  </w:style>
  <w:style w:type="paragraph" w:styleId="Quote">
    <w:name w:val="Quote"/>
    <w:basedOn w:val="Normal"/>
    <w:next w:val="Normal"/>
    <w:link w:val="21"/>
    <w:uiPriority w:val="29"/>
    <w:qFormat/>
    <w:rsid w:val="00d22f6d"/>
    <w:pPr/>
    <w:rPr>
      <w:rFonts w:ascii="Calibri" w:hAnsi="Calibri" w:eastAsia="Calibri"/>
      <w:i/>
      <w:iCs/>
      <w:color w:val="000000"/>
      <w:sz w:val="20"/>
      <w:szCs w:val="20"/>
      <w:lang w:val="x-none" w:eastAsia="x-none"/>
    </w:rPr>
  </w:style>
  <w:style w:type="paragraph" w:styleId="IntenseQuote">
    <w:name w:val="Intense Quote"/>
    <w:basedOn w:val="Normal"/>
    <w:next w:val="Normal"/>
    <w:link w:val="Style3"/>
    <w:uiPriority w:val="30"/>
    <w:qFormat/>
    <w:rsid w:val="00d22f6d"/>
    <w:pPr>
      <w:pBdr>
        <w:bottom w:val="single" w:sz="4" w:space="4" w:color="4F81BD"/>
      </w:pBdr>
      <w:spacing w:before="200" w:after="280"/>
      <w:ind w:left="936" w:right="936" w:hanging="0"/>
    </w:pPr>
    <w:rPr>
      <w:rFonts w:ascii="Calibri" w:hAnsi="Calibri" w:eastAsia="Calibri"/>
      <w:b/>
      <w:bCs/>
      <w:i/>
      <w:iCs/>
      <w:color w:val="4F81BD"/>
      <w:sz w:val="20"/>
      <w:szCs w:val="20"/>
      <w:lang w:val="x-none" w:eastAsia="x-none"/>
    </w:rPr>
  </w:style>
  <w:style w:type="paragraph" w:styleId="IndexHeading">
    <w:name w:val="Index Heading"/>
    <w:basedOn w:val="Style16"/>
    <w:pPr/>
    <w:rPr/>
  </w:style>
  <w:style w:type="paragraph" w:styleId="TOCHeading">
    <w:name w:val="TOC Heading"/>
    <w:basedOn w:val="Heading1"/>
    <w:next w:val="Normal"/>
    <w:uiPriority w:val="39"/>
    <w:qFormat/>
    <w:rsid w:val="00d22f6d"/>
    <w:pPr>
      <w:keepLines/>
      <w:spacing w:before="480" w:after="60"/>
      <w:outlineLvl w:val="9"/>
    </w:pPr>
    <w:rPr>
      <w:rFonts w:ascii="Cambria" w:hAnsi="Cambria"/>
      <w:bCs/>
      <w:color w:val="365F91"/>
    </w:rPr>
  </w:style>
  <w:style w:type="paragraph" w:styleId="E-mailSignature">
    <w:name w:val="E-mail Signature"/>
    <w:basedOn w:val="Normal"/>
    <w:link w:val="Style4"/>
    <w:uiPriority w:val="99"/>
    <w:unhideWhenUsed/>
    <w:qFormat/>
    <w:rsid w:val="00d22f6d"/>
    <w:pPr/>
    <w:rPr>
      <w:rFonts w:eastAsia="Calibri"/>
      <w:sz w:val="24"/>
      <w:szCs w:val="24"/>
      <w:lang w:val="x-none" w:eastAsia="x-none"/>
    </w:rPr>
  </w:style>
  <w:style w:type="paragraph" w:styleId="Style26" w:customStyle="1">
    <w:name w:val="Знак"/>
    <w:basedOn w:val="Normal"/>
    <w:qFormat/>
    <w:rsid w:val="00d22f6d"/>
    <w:pPr>
      <w:spacing w:lineRule="exact" w:line="240" w:before="0" w:after="160"/>
    </w:pPr>
    <w:rPr>
      <w:rFonts w:ascii="Verdana" w:hAnsi="Verdana" w:cs="Verdana"/>
      <w:sz w:val="20"/>
      <w:szCs w:val="20"/>
      <w:lang w:val="en-US" w:eastAsia="en-US"/>
    </w:rPr>
  </w:style>
  <w:style w:type="paragraph" w:styleId="34" w:customStyle="1">
    <w:name w:val="Нумерованный список ур3"/>
    <w:basedOn w:val="Normal"/>
    <w:qFormat/>
    <w:rsid w:val="00d22f6d"/>
    <w:pPr>
      <w:numPr>
        <w:ilvl w:val="2"/>
        <w:numId w:val="2"/>
      </w:numPr>
      <w:jc w:val="both"/>
    </w:pPr>
    <w:rPr>
      <w:rFonts w:ascii="Garamond" w:hAnsi="Garamond"/>
      <w:sz w:val="24"/>
      <w:szCs w:val="20"/>
    </w:rPr>
  </w:style>
  <w:style w:type="paragraph" w:styleId="311" w:customStyle="1">
    <w:name w:val="Список 31"/>
    <w:basedOn w:val="Normal"/>
    <w:qFormat/>
    <w:rsid w:val="00d22f6d"/>
    <w:pPr>
      <w:numPr>
        <w:ilvl w:val="0"/>
        <w:numId w:val="2"/>
      </w:numPr>
      <w:spacing w:before="120" w:after="0"/>
      <w:jc w:val="both"/>
    </w:pPr>
    <w:rPr>
      <w:rFonts w:ascii="Garamond" w:hAnsi="Garamond"/>
      <w:sz w:val="24"/>
      <w:szCs w:val="20"/>
    </w:rPr>
  </w:style>
  <w:style w:type="paragraph" w:styleId="26" w:customStyle="1">
    <w:name w:val="Нумерованный список ур2"/>
    <w:basedOn w:val="Normal"/>
    <w:qFormat/>
    <w:rsid w:val="00d22f6d"/>
    <w:pPr>
      <w:numPr>
        <w:ilvl w:val="1"/>
        <w:numId w:val="2"/>
      </w:numPr>
      <w:spacing w:before="120" w:after="0"/>
      <w:jc w:val="both"/>
    </w:pPr>
    <w:rPr>
      <w:rFonts w:ascii="Garamond" w:hAnsi="Garamond"/>
      <w:sz w:val="24"/>
      <w:szCs w:val="20"/>
    </w:rPr>
  </w:style>
  <w:style w:type="paragraph" w:styleId="Revision">
    <w:name w:val="Revision"/>
    <w:uiPriority w:val="99"/>
    <w:semiHidden/>
    <w:qFormat/>
    <w:rsid w:val="00d22f6d"/>
    <w:pPr>
      <w:widowControl/>
      <w:suppressAutoHyphens w:val="true"/>
      <w:bidi w:val="0"/>
      <w:spacing w:before="0" w:after="0"/>
      <w:jc w:val="left"/>
    </w:pPr>
    <w:rPr>
      <w:rFonts w:ascii="Times New Roman" w:hAnsi="Times New Roman" w:eastAsia="Calibri" w:cs="Times New Roman"/>
      <w:color w:val="auto"/>
      <w:kern w:val="0"/>
      <w:sz w:val="24"/>
      <w:szCs w:val="24"/>
      <w:lang w:val="ru-RU" w:eastAsia="ru-RU" w:bidi="ar-SA"/>
    </w:rPr>
  </w:style>
  <w:style w:type="paragraph" w:styleId="ConsPlusNormal" w:customStyle="1">
    <w:name w:val="ConsPlusNormal"/>
    <w:qFormat/>
    <w:rsid w:val="00d22f6d"/>
    <w:pPr>
      <w:widowControl w:val="false"/>
      <w:suppressAutoHyphens w:val="true"/>
      <w:bidi w:val="0"/>
      <w:spacing w:before="0" w:after="0"/>
      <w:ind w:firstLine="720"/>
      <w:jc w:val="left"/>
    </w:pPr>
    <w:rPr>
      <w:rFonts w:ascii="Arial" w:hAnsi="Arial" w:eastAsia="Times New Roman" w:cs="Arial"/>
      <w:color w:val="auto"/>
      <w:kern w:val="0"/>
      <w:sz w:val="20"/>
      <w:szCs w:val="20"/>
      <w:lang w:val="ru-RU" w:eastAsia="ru-RU" w:bidi="ar-SA"/>
    </w:rPr>
  </w:style>
  <w:style w:type="paragraph" w:styleId="35" w:customStyle="1">
    <w:name w:val="Знак Знак3 Знак Знак"/>
    <w:basedOn w:val="Normal"/>
    <w:qFormat/>
    <w:rsid w:val="00d22f6d"/>
    <w:pPr>
      <w:spacing w:lineRule="exact" w:line="240" w:before="0" w:after="160"/>
      <w:jc w:val="both"/>
    </w:pPr>
    <w:rPr>
      <w:rFonts w:ascii="Verdana" w:hAnsi="Verdana" w:cs="Verdana"/>
      <w:sz w:val="22"/>
      <w:szCs w:val="22"/>
      <w:lang w:val="en-US" w:eastAsia="en-US"/>
    </w:rPr>
  </w:style>
  <w:style w:type="paragraph" w:styleId="Style27" w:customStyle="1">
    <w:name w:val="Пункт"/>
    <w:basedOn w:val="Normal"/>
    <w:qFormat/>
    <w:rsid w:val="00d22f6d"/>
    <w:pPr>
      <w:widowControl w:val="false"/>
      <w:tabs>
        <w:tab w:val="clear" w:pos="720"/>
        <w:tab w:val="left" w:pos="1134" w:leader="none"/>
      </w:tabs>
      <w:spacing w:lineRule="auto" w:line="360" w:before="120" w:after="0"/>
      <w:ind w:left="1134" w:right="800" w:hanging="1134"/>
      <w:jc w:val="both"/>
    </w:pPr>
    <w:rPr>
      <w:rFonts w:ascii="Arial" w:hAnsi="Arial"/>
      <w:b/>
      <w:i/>
      <w:szCs w:val="20"/>
    </w:rPr>
  </w:style>
  <w:style w:type="paragraph" w:styleId="17" w:customStyle="1">
    <w:name w:val="Абзац списка1"/>
    <w:basedOn w:val="Normal"/>
    <w:qFormat/>
    <w:rsid w:val="00d22f6d"/>
    <w:pPr>
      <w:spacing w:lineRule="auto" w:line="276" w:before="0" w:after="200"/>
      <w:ind w:left="720" w:hanging="0"/>
      <w:contextualSpacing/>
    </w:pPr>
    <w:rPr>
      <w:rFonts w:ascii="Calibri" w:hAnsi="Calibri"/>
      <w:sz w:val="22"/>
      <w:szCs w:val="22"/>
      <w:lang w:eastAsia="en-US"/>
    </w:rPr>
  </w:style>
  <w:style w:type="paragraph" w:styleId="Style28" w:customStyle="1">
    <w:name w:val="Таблица"/>
    <w:basedOn w:val="Normal"/>
    <w:qFormat/>
    <w:rsid w:val="0041356c"/>
    <w:pPr>
      <w:keepNext w:val="true"/>
      <w:spacing w:before="60" w:after="60"/>
      <w:jc w:val="center"/>
    </w:pPr>
    <w:rPr>
      <w:rFonts w:eastAsia="Calibri"/>
      <w:b/>
      <w:sz w:val="24"/>
      <w:szCs w:val="24"/>
      <w:lang w:val="x-none" w:eastAsia="x-none"/>
    </w:rPr>
  </w:style>
  <w:style w:type="paragraph" w:styleId="Style29" w:customStyle="1">
    <w:name w:val="Таблица шапка"/>
    <w:basedOn w:val="Normal"/>
    <w:qFormat/>
    <w:rsid w:val="00f64089"/>
    <w:pPr>
      <w:keepNext w:val="true"/>
      <w:spacing w:before="40" w:after="40"/>
      <w:ind w:left="57" w:right="57" w:hanging="0"/>
    </w:pPr>
    <w:rPr>
      <w:sz w:val="22"/>
      <w:szCs w:val="26"/>
    </w:rPr>
  </w:style>
  <w:style w:type="paragraph" w:styleId="Style30" w:customStyle="1">
    <w:name w:val="Подподпункт"/>
    <w:basedOn w:val="Style22"/>
    <w:link w:val="Style9"/>
    <w:qFormat/>
    <w:rsid w:val="0025139e"/>
    <w:pPr>
      <w:tabs>
        <w:tab w:val="clear" w:pos="1134"/>
        <w:tab w:val="left" w:pos="5104" w:leader="none"/>
      </w:tabs>
      <w:snapToGrid w:val="true"/>
      <w:spacing w:lineRule="auto" w:line="240" w:before="120" w:after="0"/>
      <w:ind w:left="5104" w:hanging="567"/>
    </w:pPr>
    <w:rPr>
      <w:sz w:val="26"/>
      <w:szCs w:val="26"/>
      <w:lang w:val="ru-RU" w:eastAsia="ru-RU"/>
    </w:rPr>
  </w:style>
  <w:style w:type="paragraph" w:styleId="Style31" w:customStyle="1">
    <w:name w:val="УРОВЕНЬ_(а)"/>
    <w:basedOn w:val="ListParagraph"/>
    <w:qFormat/>
    <w:rsid w:val="00b56f46"/>
    <w:pPr>
      <w:numPr>
        <w:ilvl w:val="3"/>
        <w:numId w:val="4"/>
      </w:numPr>
      <w:spacing w:lineRule="exact" w:line="360" w:before="120" w:after="0"/>
      <w:contextualSpacing w:val="false"/>
      <w:jc w:val="both"/>
      <w:outlineLvl w:val="3"/>
    </w:pPr>
    <w:rPr>
      <w:sz w:val="26"/>
      <w:szCs w:val="28"/>
      <w:lang w:eastAsia="en-US"/>
    </w:rPr>
  </w:style>
  <w:style w:type="paragraph" w:styleId="-" w:customStyle="1">
    <w:name w:val="УРОВЕНЬ_-"/>
    <w:basedOn w:val="ListParagraph"/>
    <w:qFormat/>
    <w:rsid w:val="00b56f46"/>
    <w:pPr>
      <w:numPr>
        <w:ilvl w:val="4"/>
        <w:numId w:val="4"/>
      </w:numPr>
      <w:spacing w:lineRule="exact" w:line="360" w:before="120" w:after="0"/>
      <w:contextualSpacing w:val="false"/>
      <w:jc w:val="both"/>
      <w:outlineLvl w:val="4"/>
    </w:pPr>
    <w:rPr>
      <w:sz w:val="26"/>
      <w:szCs w:val="28"/>
      <w:lang w:eastAsia="en-US"/>
    </w:rPr>
  </w:style>
  <w:style w:type="paragraph" w:styleId="27" w:customStyle="1">
    <w:name w:val="УРОВЕНЬ_Абзац_тип2"/>
    <w:basedOn w:val="ListParagraph"/>
    <w:qFormat/>
    <w:rsid w:val="00b56f46"/>
    <w:pPr>
      <w:numPr>
        <w:ilvl w:val="6"/>
        <w:numId w:val="4"/>
      </w:numPr>
      <w:spacing w:lineRule="exact" w:line="360" w:before="120" w:after="0"/>
      <w:contextualSpacing w:val="false"/>
      <w:jc w:val="both"/>
    </w:pPr>
    <w:rPr>
      <w:sz w:val="26"/>
      <w:szCs w:val="28"/>
      <w:lang w:eastAsia="en-US"/>
    </w:rPr>
  </w:style>
  <w:style w:type="paragraph" w:styleId="36" w:customStyle="1">
    <w:name w:val="УРОВЕНЬ_Абзац_тип3"/>
    <w:basedOn w:val="ListParagraph"/>
    <w:link w:val="31"/>
    <w:qFormat/>
    <w:rsid w:val="00b56f46"/>
    <w:pPr>
      <w:numPr>
        <w:ilvl w:val="7"/>
        <w:numId w:val="4"/>
      </w:numPr>
      <w:spacing w:lineRule="exact" w:line="360" w:before="120" w:after="0"/>
      <w:contextualSpacing w:val="false"/>
      <w:jc w:val="both"/>
    </w:pPr>
    <w:rPr>
      <w:sz w:val="26"/>
      <w:szCs w:val="28"/>
      <w:lang w:eastAsia="en-US"/>
    </w:rPr>
  </w:style>
  <w:style w:type="paragraph" w:styleId="Style32" w:customStyle="1">
    <w:name w:val="УРОВЕНЬ_Подпись"/>
    <w:basedOn w:val="ListParagraph"/>
    <w:qFormat/>
    <w:rsid w:val="00b56f46"/>
    <w:pPr>
      <w:keepNext w:val="true"/>
      <w:numPr>
        <w:ilvl w:val="5"/>
        <w:numId w:val="4"/>
      </w:numPr>
      <w:spacing w:lineRule="exact" w:line="360" w:before="120" w:after="120"/>
      <w:contextualSpacing w:val="false"/>
      <w:jc w:val="right"/>
      <w:outlineLvl w:val="3"/>
    </w:pPr>
    <w:rPr>
      <w:sz w:val="26"/>
      <w:szCs w:val="28"/>
      <w:lang w:eastAsia="en-US"/>
    </w:rPr>
  </w:style>
  <w:style w:type="paragraph" w:styleId="18" w:customStyle="1">
    <w:name w:val="Стиль Заголовок 1 + по ширине"/>
    <w:basedOn w:val="Heading1"/>
    <w:qFormat/>
    <w:rsid w:val="005773b2"/>
    <w:pPr>
      <w:keepLines/>
      <w:tabs>
        <w:tab w:val="clear" w:pos="0"/>
        <w:tab w:val="left" w:pos="567" w:leader="none"/>
      </w:tabs>
      <w:spacing w:before="480" w:after="240"/>
      <w:ind w:left="567" w:hanging="567"/>
      <w:jc w:val="both"/>
    </w:pPr>
    <w:rPr>
      <w:rFonts w:ascii="Arial" w:hAnsi="Arial" w:eastAsia="Times New Roman"/>
      <w:bCs/>
      <w:kern w:val="2"/>
      <w:sz w:val="40"/>
      <w:szCs w:val="20"/>
      <w:lang w:val="ru-RU" w:eastAsia="ru-RU"/>
    </w:rPr>
  </w:style>
  <w:style w:type="paragraph" w:styleId="EndnoteText">
    <w:name w:val="Endnote Text"/>
    <w:basedOn w:val="Normal"/>
    <w:link w:val="Style12"/>
    <w:rsid w:val="003879d4"/>
    <w:pPr/>
    <w:rPr>
      <w:sz w:val="20"/>
      <w:szCs w:val="20"/>
    </w:rPr>
  </w:style>
  <w:style w:type="paragraph" w:styleId="28" w:customStyle="1">
    <w:name w:val="Заголовок 2 КВВ"/>
    <w:basedOn w:val="Normal"/>
    <w:qFormat/>
    <w:rsid w:val="00cb35e8"/>
    <w:pPr>
      <w:keepNext w:val="true"/>
      <w:numPr>
        <w:ilvl w:val="0"/>
        <w:numId w:val="5"/>
      </w:numPr>
      <w:spacing w:before="120" w:after="120"/>
      <w:jc w:val="both"/>
      <w:outlineLvl w:val="0"/>
    </w:pPr>
    <w:rPr>
      <w:b/>
      <w:kern w:val="2"/>
      <w:sz w:val="24"/>
      <w:szCs w:val="20"/>
      <w:lang w:eastAsia="x-none"/>
    </w:rPr>
  </w:style>
  <w:style w:type="paragraph" w:styleId="Style33" w:customStyle="1">
    <w:name w:val="Таблица текст"/>
    <w:basedOn w:val="Normal"/>
    <w:qFormat/>
    <w:rsid w:val="00343e95"/>
    <w:pPr>
      <w:spacing w:before="40" w:after="40"/>
      <w:ind w:left="57" w:right="57" w:hanging="0"/>
    </w:pPr>
    <w:rPr>
      <w:sz w:val="24"/>
      <w:szCs w:val="26"/>
    </w:rPr>
  </w:style>
  <w:style w:type="paragraph" w:styleId="NormalWeb">
    <w:name w:val="Normal (Web)"/>
    <w:basedOn w:val="Normal"/>
    <w:uiPriority w:val="99"/>
    <w:unhideWhenUsed/>
    <w:qFormat/>
    <w:rsid w:val="00265d9f"/>
    <w:pPr>
      <w:spacing w:beforeAutospacing="1" w:afterAutospacing="1"/>
    </w:pPr>
    <w:rPr>
      <w:sz w:val="24"/>
      <w:szCs w:val="24"/>
    </w:rPr>
  </w:style>
  <w:style w:type="paragraph" w:styleId="19" w:customStyle="1">
    <w:name w:val="УРОВЕНЬ_1."/>
    <w:basedOn w:val="ListParagraph"/>
    <w:link w:val="12"/>
    <w:qFormat/>
    <w:rsid w:val="004a17ae"/>
    <w:pPr>
      <w:keepNext w:val="true"/>
      <w:keepLines/>
      <w:spacing w:lineRule="auto" w:line="276" w:before="240" w:after="120"/>
      <w:ind w:left="0" w:hanging="0"/>
      <w:contextualSpacing w:val="false"/>
      <w:jc w:val="both"/>
      <w:outlineLvl w:val="0"/>
    </w:pPr>
    <w:rPr>
      <w:caps/>
      <w:sz w:val="28"/>
      <w:szCs w:val="28"/>
      <w:lang w:eastAsia="en-US"/>
    </w:rPr>
  </w:style>
  <w:style w:type="paragraph" w:styleId="TOC6">
    <w:name w:val="TOC 6"/>
    <w:basedOn w:val="Normal"/>
    <w:next w:val="Normal"/>
    <w:autoRedefine/>
    <w:unhideWhenUsed/>
    <w:rsid w:val="00d849aa"/>
    <w:pPr>
      <w:ind w:left="1120" w:hanging="0"/>
    </w:pPr>
    <w:rPr>
      <w:rFonts w:ascii="Calibri" w:hAnsi="Calibri" w:cs="Calibri" w:asciiTheme="minorHAnsi" w:cstheme="minorHAnsi" w:hAnsiTheme="minorHAnsi"/>
      <w:sz w:val="20"/>
      <w:szCs w:val="20"/>
    </w:rPr>
  </w:style>
  <w:style w:type="paragraph" w:styleId="TOC7">
    <w:name w:val="TOC 7"/>
    <w:basedOn w:val="Normal"/>
    <w:next w:val="Normal"/>
    <w:autoRedefine/>
    <w:unhideWhenUsed/>
    <w:rsid w:val="00d849aa"/>
    <w:pPr>
      <w:ind w:left="1400" w:hanging="0"/>
    </w:pPr>
    <w:rPr>
      <w:rFonts w:ascii="Calibri" w:hAnsi="Calibri" w:cs="Calibri" w:asciiTheme="minorHAnsi" w:cstheme="minorHAnsi" w:hAnsiTheme="minorHAnsi"/>
      <w:sz w:val="20"/>
      <w:szCs w:val="20"/>
    </w:rPr>
  </w:style>
  <w:style w:type="paragraph" w:styleId="TOC8">
    <w:name w:val="TOC 8"/>
    <w:basedOn w:val="Normal"/>
    <w:next w:val="Normal"/>
    <w:autoRedefine/>
    <w:unhideWhenUsed/>
    <w:rsid w:val="00d849aa"/>
    <w:pPr>
      <w:ind w:left="1680" w:hanging="0"/>
    </w:pPr>
    <w:rPr>
      <w:rFonts w:ascii="Calibri" w:hAnsi="Calibri" w:cs="Calibri" w:asciiTheme="minorHAnsi" w:cstheme="minorHAnsi" w:hAnsiTheme="minorHAnsi"/>
      <w:sz w:val="20"/>
      <w:szCs w:val="20"/>
    </w:rPr>
  </w:style>
  <w:style w:type="paragraph" w:styleId="Style34" w:customStyle="1">
    <w:name w:val="основной для подзаголовков"/>
    <w:basedOn w:val="Heading2"/>
    <w:link w:val="Style14"/>
    <w:qFormat/>
    <w:rsid w:val="00e32efd"/>
    <w:pPr>
      <w:tabs>
        <w:tab w:val="clear" w:pos="0"/>
      </w:tabs>
      <w:spacing w:before="120" w:after="120"/>
    </w:pPr>
    <w:rPr>
      <w:rFonts w:eastAsia="Times New Roman"/>
      <w:bCs w:val="false"/>
      <w:sz w:val="28"/>
      <w:szCs w:val="28"/>
      <w:lang w:val="ru-RU" w:eastAsia="ru-RU"/>
    </w:rPr>
  </w:style>
  <w:style w:type="paragraph" w:styleId="FORMATTEXT" w:customStyle="1">
    <w:name w:val=".FORMATTEXT"/>
    <w:qFormat/>
    <w:rsid w:val="00b721bf"/>
    <w:pPr>
      <w:widowControl w:val="false"/>
      <w:suppressAutoHyphens w:val="true"/>
      <w:bidi w:val="0"/>
      <w:spacing w:before="0" w:after="0"/>
      <w:jc w:val="left"/>
    </w:pPr>
    <w:rPr>
      <w:rFonts w:ascii="Times New Roman" w:hAnsi="Times New Roman" w:eastAsia="Times New Roman" w:cs="Times New Roman"/>
      <w:color w:val="auto"/>
      <w:kern w:val="0"/>
      <w:sz w:val="24"/>
      <w:szCs w:val="24"/>
      <w:lang w:val="ru-RU" w:eastAsia="ru-RU" w:bidi="ar-SA"/>
    </w:rPr>
  </w:style>
  <w:style w:type="paragraph" w:styleId="312" w:customStyle="1">
    <w:name w:val="Основной текст с отступом 31"/>
    <w:basedOn w:val="Normal"/>
    <w:qFormat/>
    <w:rsid w:val="00b85984"/>
    <w:pPr>
      <w:ind w:firstLine="708"/>
    </w:pPr>
    <w:rPr>
      <w:sz w:val="24"/>
      <w:szCs w:val="24"/>
      <w:lang w:eastAsia="ar-SA"/>
    </w:rPr>
  </w:style>
  <w:style w:type="paragraph" w:styleId="Style35" w:customStyle="1">
    <w:name w:val="Содержимое врезки"/>
    <w:basedOn w:val="Normal"/>
    <w:qFormat/>
    <w:pPr/>
    <w:rPr/>
  </w:style>
  <w:style w:type="paragraph" w:styleId="Style36" w:customStyle="1">
    <w:name w:val="Содержимое таблицы"/>
    <w:basedOn w:val="Normal"/>
    <w:qFormat/>
    <w:pPr>
      <w:widowControl w:val="false"/>
      <w:suppressLineNumbers/>
    </w:pPr>
    <w:rPr/>
  </w:style>
  <w:style w:type="paragraph" w:styleId="Style37" w:customStyle="1">
    <w:name w:val="Заголовок таблицы"/>
    <w:basedOn w:val="Style36"/>
    <w:qFormat/>
    <w:pPr>
      <w:jc w:val="center"/>
    </w:pPr>
    <w:rPr>
      <w:b/>
      <w:bCs/>
    </w:rPr>
  </w:style>
  <w:style w:type="numbering" w:styleId="NoList" w:default="1">
    <w:name w:val="No List"/>
    <w:uiPriority w:val="99"/>
    <w:semiHidden/>
    <w:unhideWhenUsed/>
    <w:qFormat/>
  </w:style>
  <w:style w:type="numbering" w:styleId="110" w:customStyle="1">
    <w:name w:val="Стиль1"/>
    <w:uiPriority w:val="99"/>
    <w:qFormat/>
    <w:rsid w:val="00f001e4"/>
  </w:style>
  <w:style w:type="numbering" w:styleId="29" w:customStyle="1">
    <w:name w:val="Стиль2"/>
    <w:uiPriority w:val="99"/>
    <w:qFormat/>
    <w:rsid w:val="006629c9"/>
  </w:style>
  <w:style w:type="table" w:default="1" w:styleId="a5">
    <w:name w:val="Normal Table"/>
    <w:uiPriority w:val="99"/>
    <w:semiHidden/>
    <w:unhideWhenUsed/>
    <w:tblPr>
      <w:tblCellMar>
        <w:top w:w="0" w:type="dxa"/>
        <w:left w:w="108" w:type="dxa"/>
        <w:bottom w:w="0" w:type="dxa"/>
        <w:right w:w="108" w:type="dxa"/>
      </w:tblCellMar>
    </w:tblPr>
  </w:style>
  <w:style w:type="table" w:styleId="affff9">
    <w:name w:val="Table Grid"/>
    <w:basedOn w:val="a5"/>
    <w:uiPriority w:val="39"/>
    <w:rsid w:val="0076353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c">
    <w:name w:val="Сетка таблицы1"/>
    <w:basedOn w:val="a5"/>
    <w:uiPriority w:val="39"/>
    <w:rsid w:val="00214b9f"/>
    <w:rPr>
      <w:rFonts w:asciiTheme="minorHAnsi" w:hAnsiTheme="minorHAnsi" w:eastAsiaTheme="minorHAnsi" w:cstheme="minorBidi"/>
      <w:lang w:eastAsia="en-US"/>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header" Target="header4.xml"/><Relationship Id="rId6" Type="http://schemas.openxmlformats.org/officeDocument/2006/relationships/header" Target="header5.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jpeg"/><Relationship Id="rId10" Type="http://schemas.openxmlformats.org/officeDocument/2006/relationships/image" Target="media/image4.jpeg"/><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png"/><Relationship Id="rId17" Type="http://schemas.openxmlformats.org/officeDocument/2006/relationships/image" Target="media/image11.jpeg"/><Relationship Id="rId18" Type="http://schemas.openxmlformats.org/officeDocument/2006/relationships/image" Target="media/image12.png"/><Relationship Id="rId19" Type="http://schemas.openxmlformats.org/officeDocument/2006/relationships/header" Target="header6.xml"/><Relationship Id="rId20" Type="http://schemas.openxmlformats.org/officeDocument/2006/relationships/header" Target="header7.xml"/><Relationship Id="rId21" Type="http://schemas.openxmlformats.org/officeDocument/2006/relationships/numbering" Target="numbering.xml"/><Relationship Id="rId22" Type="http://schemas.openxmlformats.org/officeDocument/2006/relationships/fontTable" Target="fontTable.xml"/><Relationship Id="rId23" Type="http://schemas.openxmlformats.org/officeDocument/2006/relationships/settings" Target="settings.xml"/><Relationship Id="rId24" Type="http://schemas.openxmlformats.org/officeDocument/2006/relationships/theme" Target="theme/theme1.xml"/><Relationship Id="rId25"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531743-5E01-46B8-B1BA-E45790B0B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Application>AlterOffice/3.4.0.9$Linux_X86_64 LibreOffice_project/b8daf9e823b1a5463a2f48435ddc2e8696e7d4fc</Application>
  <AppVersion>15.0000</AppVersion>
  <Pages>31</Pages>
  <Words>4403</Words>
  <Characters>28846</Characters>
  <CharactersWithSpaces>32782</CharactersWithSpaces>
  <Paragraphs>443</Paragraphs>
  <Company>Microsoft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2025-03-31T06:50:00Z</dcterms:created>
  <dc:creator>Пирожков Дмитрий Андреевич</dc:creator>
  <dc:description/>
  <dc:language>ru-RU</dc:language>
  <cp:lastModifiedBy>shvalyukee@corp.gidroogk.com</cp:lastModifiedBy>
  <cp:lastPrinted>2026-05-05T13:56:05Z</cp:lastPrinted>
  <dcterms:modified xsi:type="dcterms:W3CDTF">2026-05-25T12:09:04Z</dcterms:modified>
  <cp:revision>17</cp:revision>
  <dc:subject/>
  <dc:title>Российское открытое акционерное общество энергетики и электрификации</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1</vt:bool>
  </property>
</Properties>
</file>